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10EA" w14:textId="68130E90" w:rsidR="00245565" w:rsidRDefault="00245565" w:rsidP="008E6D2C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Delivery Science Grants Program</w:t>
      </w:r>
    </w:p>
    <w:p w14:paraId="4F45443E" w14:textId="42859BAD" w:rsidR="001A5A8A" w:rsidRPr="009A0899" w:rsidRDefault="00591867" w:rsidP="008E6D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EC131C">
        <w:rPr>
          <w:rFonts w:ascii="Arial" w:hAnsi="Arial" w:cs="Arial"/>
          <w:b/>
          <w:bCs/>
        </w:rPr>
        <w:t>o</w:t>
      </w:r>
      <w:r w:rsidR="009A0899" w:rsidRPr="009A0899">
        <w:rPr>
          <w:rFonts w:ascii="Arial" w:hAnsi="Arial" w:cs="Arial"/>
          <w:b/>
          <w:bCs/>
        </w:rPr>
        <w:t xml:space="preserve">vel </w:t>
      </w:r>
      <w:r w:rsidR="0099649C">
        <w:rPr>
          <w:rFonts w:ascii="Arial" w:hAnsi="Arial" w:cs="Arial"/>
          <w:b/>
          <w:bCs/>
        </w:rPr>
        <w:t xml:space="preserve">telehealth </w:t>
      </w:r>
      <w:r w:rsidR="009A0899" w:rsidRPr="009A0899">
        <w:rPr>
          <w:rFonts w:ascii="Arial" w:hAnsi="Arial" w:cs="Arial"/>
          <w:b/>
          <w:bCs/>
        </w:rPr>
        <w:t>p</w:t>
      </w:r>
      <w:r w:rsidR="001A5A8A" w:rsidRPr="009A0899">
        <w:rPr>
          <w:rFonts w:ascii="Arial" w:hAnsi="Arial" w:cs="Arial"/>
          <w:b/>
          <w:bCs/>
        </w:rPr>
        <w:t xml:space="preserve">opulation </w:t>
      </w:r>
      <w:r w:rsidR="00EC131C">
        <w:rPr>
          <w:rFonts w:ascii="Arial" w:hAnsi="Arial" w:cs="Arial"/>
          <w:b/>
          <w:bCs/>
        </w:rPr>
        <w:t xml:space="preserve">care </w:t>
      </w:r>
      <w:r w:rsidR="009A0899" w:rsidRPr="009A0899">
        <w:rPr>
          <w:rFonts w:ascii="Arial" w:hAnsi="Arial" w:cs="Arial"/>
          <w:b/>
          <w:bCs/>
        </w:rPr>
        <w:t xml:space="preserve">program led </w:t>
      </w:r>
      <w:r w:rsidR="001A5A8A" w:rsidRPr="009A0899">
        <w:rPr>
          <w:rFonts w:ascii="Arial" w:hAnsi="Arial" w:cs="Arial"/>
          <w:b/>
          <w:bCs/>
        </w:rPr>
        <w:t>by clinical pharmacists boost</w:t>
      </w:r>
      <w:r w:rsidR="00EC131C">
        <w:rPr>
          <w:rFonts w:ascii="Arial" w:hAnsi="Arial" w:cs="Arial"/>
          <w:b/>
          <w:bCs/>
        </w:rPr>
        <w:t>s</w:t>
      </w:r>
      <w:r w:rsidR="001A5A8A" w:rsidRPr="009A0899">
        <w:rPr>
          <w:rFonts w:ascii="Arial" w:hAnsi="Arial" w:cs="Arial"/>
          <w:b/>
          <w:bCs/>
        </w:rPr>
        <w:t xml:space="preserve"> adherence</w:t>
      </w:r>
      <w:r w:rsidR="009A0899">
        <w:rPr>
          <w:rFonts w:ascii="Arial" w:hAnsi="Arial" w:cs="Arial"/>
          <w:b/>
          <w:bCs/>
        </w:rPr>
        <w:t xml:space="preserve">, </w:t>
      </w:r>
      <w:r w:rsidR="00B82A6E">
        <w:rPr>
          <w:rFonts w:ascii="Arial" w:hAnsi="Arial" w:cs="Arial"/>
          <w:b/>
          <w:bCs/>
        </w:rPr>
        <w:t xml:space="preserve">critical </w:t>
      </w:r>
      <w:r w:rsidR="009A0899">
        <w:rPr>
          <w:rFonts w:ascii="Arial" w:hAnsi="Arial" w:cs="Arial"/>
          <w:b/>
          <w:bCs/>
        </w:rPr>
        <w:t xml:space="preserve">preventive care </w:t>
      </w:r>
      <w:r w:rsidR="001A5A8A" w:rsidRPr="009A0899">
        <w:rPr>
          <w:rFonts w:ascii="Arial" w:hAnsi="Arial" w:cs="Arial"/>
          <w:b/>
          <w:bCs/>
        </w:rPr>
        <w:t xml:space="preserve">for members with </w:t>
      </w:r>
      <w:r w:rsidR="009A0899" w:rsidRPr="009A0899">
        <w:rPr>
          <w:rFonts w:ascii="Arial" w:hAnsi="Arial" w:cs="Arial"/>
          <w:b/>
          <w:bCs/>
        </w:rPr>
        <w:t>severe mental illness</w:t>
      </w:r>
      <w:r w:rsidR="001A5A8A" w:rsidRPr="009A0899">
        <w:rPr>
          <w:rFonts w:ascii="Arial" w:hAnsi="Arial" w:cs="Arial"/>
          <w:b/>
          <w:bCs/>
        </w:rPr>
        <w:t xml:space="preserve"> </w:t>
      </w:r>
    </w:p>
    <w:p w14:paraId="7D76C285" w14:textId="244A1E44" w:rsidR="00BA2786" w:rsidRDefault="009F4BC6" w:rsidP="000456B7">
      <w:r w:rsidRPr="009F4BC6">
        <w:rPr>
          <w:rFonts w:ascii="Arial" w:hAnsi="Arial" w:cs="Arial"/>
        </w:rPr>
        <w:t>Lisa Fazzolari, DO &amp; Esti Iturralde, PhD, Co-PIs, and Macy Shia, PharmD &amp; Stacey Alexeeff, PhD, Co-Is</w:t>
      </w:r>
      <w:r w:rsidRPr="009F4BC6">
        <w:t xml:space="preserve"> 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2051"/>
        <w:gridCol w:w="8654"/>
      </w:tblGrid>
      <w:tr w:rsidR="008E6D2C" w:rsidRPr="009F4BC6" w14:paraId="307289BF" w14:textId="77777777" w:rsidTr="00020B18">
        <w:trPr>
          <w:trHeight w:val="816"/>
        </w:trPr>
        <w:tc>
          <w:tcPr>
            <w:tcW w:w="2051" w:type="dxa"/>
          </w:tcPr>
          <w:p w14:paraId="2C7E2D09" w14:textId="77777777" w:rsidR="0048655A" w:rsidRPr="009F4BC6" w:rsidRDefault="0048655A" w:rsidP="0048655A">
            <w:pPr>
              <w:spacing w:line="259" w:lineRule="auto"/>
              <w:rPr>
                <w:rFonts w:ascii="Arial" w:hAnsi="Arial" w:cs="Arial"/>
              </w:rPr>
            </w:pPr>
            <w:bookmarkStart w:id="0" w:name="_Hlk54105970"/>
            <w:r w:rsidRPr="009F4BC6">
              <w:rPr>
                <w:rFonts w:ascii="Arial" w:hAnsi="Arial" w:cs="Arial"/>
              </w:rPr>
              <w:t>Challenge</w:t>
            </w:r>
          </w:p>
        </w:tc>
        <w:tc>
          <w:tcPr>
            <w:tcW w:w="8654" w:type="dxa"/>
          </w:tcPr>
          <w:p w14:paraId="7F9273D4" w14:textId="1F79FEF4" w:rsidR="0048655A" w:rsidRPr="009F4BC6" w:rsidRDefault="00EC131C" w:rsidP="0048655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Members with schizophrenia spectrum and bipolar disorder often disengage from psychiatric treatment and </w:t>
            </w:r>
            <w:r w:rsidR="0099649C">
              <w:rPr>
                <w:rFonts w:ascii="Arial" w:hAnsi="Arial" w:cs="Arial"/>
                <w:b/>
                <w:bCs/>
              </w:rPr>
              <w:t xml:space="preserve">suffer </w:t>
            </w:r>
            <w:r w:rsidR="00B82A6E">
              <w:rPr>
                <w:rFonts w:ascii="Arial" w:hAnsi="Arial" w:cs="Arial"/>
                <w:b/>
                <w:bCs/>
              </w:rPr>
              <w:t>high</w:t>
            </w:r>
            <w:r w:rsidR="0099649C">
              <w:rPr>
                <w:rFonts w:ascii="Arial" w:hAnsi="Arial" w:cs="Arial"/>
                <w:b/>
                <w:bCs/>
              </w:rPr>
              <w:t xml:space="preserve"> morbidity and mortality from </w:t>
            </w:r>
            <w:r>
              <w:rPr>
                <w:rFonts w:ascii="Arial" w:hAnsi="Arial" w:cs="Arial"/>
                <w:b/>
                <w:bCs/>
              </w:rPr>
              <w:t xml:space="preserve">preventable chronic health </w:t>
            </w:r>
            <w:r w:rsidR="0049294B">
              <w:rPr>
                <w:rFonts w:ascii="Arial" w:hAnsi="Arial" w:cs="Arial"/>
                <w:b/>
                <w:bCs/>
              </w:rPr>
              <w:t>conditions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8E6D2C" w:rsidRPr="009F4BC6" w14:paraId="67D435C8" w14:textId="77777777" w:rsidTr="00020B18">
        <w:trPr>
          <w:trHeight w:val="1091"/>
        </w:trPr>
        <w:tc>
          <w:tcPr>
            <w:tcW w:w="2051" w:type="dxa"/>
          </w:tcPr>
          <w:p w14:paraId="351B366F" w14:textId="77777777" w:rsidR="0048655A" w:rsidRPr="009F4BC6" w:rsidRDefault="0048655A" w:rsidP="0048655A">
            <w:pPr>
              <w:spacing w:line="259" w:lineRule="auto"/>
              <w:rPr>
                <w:rFonts w:ascii="Arial" w:hAnsi="Arial" w:cs="Arial"/>
              </w:rPr>
            </w:pPr>
            <w:r w:rsidRPr="009F4BC6">
              <w:rPr>
                <w:rFonts w:ascii="Arial" w:hAnsi="Arial" w:cs="Arial"/>
              </w:rPr>
              <w:t>Existing Evidence</w:t>
            </w:r>
          </w:p>
        </w:tc>
        <w:tc>
          <w:tcPr>
            <w:tcW w:w="8654" w:type="dxa"/>
          </w:tcPr>
          <w:p w14:paraId="70041630" w14:textId="27D8435D" w:rsidR="0048655A" w:rsidRPr="009F4BC6" w:rsidRDefault="0099649C" w:rsidP="00B82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9649C">
              <w:rPr>
                <w:rFonts w:ascii="Arial" w:hAnsi="Arial" w:cs="Arial"/>
              </w:rPr>
              <w:t xml:space="preserve">dvanced practice clinical pharmacists </w:t>
            </w:r>
            <w:r>
              <w:rPr>
                <w:rFonts w:ascii="Arial" w:hAnsi="Arial" w:cs="Arial"/>
              </w:rPr>
              <w:t xml:space="preserve">have been well-integrated </w:t>
            </w:r>
            <w:r w:rsidR="00B82A6E">
              <w:rPr>
                <w:rFonts w:ascii="Arial" w:hAnsi="Arial" w:cs="Arial"/>
              </w:rPr>
              <w:t xml:space="preserve">as care managers </w:t>
            </w:r>
            <w:r>
              <w:rPr>
                <w:rFonts w:ascii="Arial" w:hAnsi="Arial" w:cs="Arial"/>
              </w:rPr>
              <w:t>in population</w:t>
            </w:r>
            <w:r w:rsidR="00B82A6E">
              <w:rPr>
                <w:rFonts w:ascii="Arial" w:hAnsi="Arial" w:cs="Arial"/>
              </w:rPr>
              <w:t xml:space="preserve">-based models </w:t>
            </w:r>
            <w:r>
              <w:rPr>
                <w:rFonts w:ascii="Arial" w:hAnsi="Arial" w:cs="Arial"/>
              </w:rPr>
              <w:t>for chronic disease management</w:t>
            </w:r>
            <w:r w:rsidR="00B82A6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but this approach is novel in psychiatry. </w:t>
            </w:r>
            <w:r w:rsidR="00B82A6E">
              <w:rPr>
                <w:rFonts w:ascii="Arial" w:hAnsi="Arial" w:cs="Arial"/>
              </w:rPr>
              <w:t xml:space="preserve">It </w:t>
            </w:r>
            <w:r w:rsidR="000B0B25">
              <w:rPr>
                <w:rFonts w:ascii="Arial" w:hAnsi="Arial" w:cs="Arial"/>
              </w:rPr>
              <w:t>wa</w:t>
            </w:r>
            <w:r w:rsidR="00B82A6E">
              <w:rPr>
                <w:rFonts w:ascii="Arial" w:hAnsi="Arial" w:cs="Arial"/>
              </w:rPr>
              <w:t xml:space="preserve">s </w:t>
            </w:r>
            <w:r w:rsidR="0049294B">
              <w:rPr>
                <w:rFonts w:ascii="Arial" w:hAnsi="Arial" w:cs="Arial"/>
              </w:rPr>
              <w:t xml:space="preserve">previously </w:t>
            </w:r>
            <w:r w:rsidR="00B82A6E">
              <w:rPr>
                <w:rFonts w:ascii="Arial" w:hAnsi="Arial" w:cs="Arial"/>
              </w:rPr>
              <w:t>unknown if patients with schizophrenia spectrum and bipolar disorder w</w:t>
            </w:r>
            <w:r w:rsidR="000B0B25">
              <w:rPr>
                <w:rFonts w:ascii="Arial" w:hAnsi="Arial" w:cs="Arial"/>
              </w:rPr>
              <w:t>ould</w:t>
            </w:r>
            <w:r w:rsidR="00B82A6E">
              <w:rPr>
                <w:rFonts w:ascii="Arial" w:hAnsi="Arial" w:cs="Arial"/>
              </w:rPr>
              <w:t xml:space="preserve"> engage via telehealth with clinical pharmacists</w:t>
            </w:r>
            <w:r w:rsidR="00D463DB">
              <w:rPr>
                <w:rFonts w:ascii="Arial" w:hAnsi="Arial" w:cs="Arial"/>
              </w:rPr>
              <w:t xml:space="preserve"> for routine care</w:t>
            </w:r>
            <w:r w:rsidR="00B82A6E">
              <w:rPr>
                <w:rFonts w:ascii="Arial" w:hAnsi="Arial" w:cs="Arial"/>
              </w:rPr>
              <w:t>.</w:t>
            </w:r>
          </w:p>
        </w:tc>
      </w:tr>
      <w:tr w:rsidR="008E6D2C" w:rsidRPr="009F4BC6" w14:paraId="136E6453" w14:textId="77777777" w:rsidTr="00020B18">
        <w:trPr>
          <w:trHeight w:val="262"/>
        </w:trPr>
        <w:tc>
          <w:tcPr>
            <w:tcW w:w="2051" w:type="dxa"/>
          </w:tcPr>
          <w:p w14:paraId="53202DB8" w14:textId="77777777" w:rsidR="0048655A" w:rsidRPr="009F4BC6" w:rsidRDefault="0048655A" w:rsidP="0048655A">
            <w:pPr>
              <w:spacing w:line="259" w:lineRule="auto"/>
              <w:rPr>
                <w:rFonts w:ascii="Arial" w:hAnsi="Arial" w:cs="Arial"/>
              </w:rPr>
            </w:pPr>
            <w:r w:rsidRPr="009F4BC6">
              <w:rPr>
                <w:rFonts w:ascii="Arial" w:hAnsi="Arial" w:cs="Arial"/>
              </w:rPr>
              <w:t>Target Population</w:t>
            </w:r>
          </w:p>
        </w:tc>
        <w:tc>
          <w:tcPr>
            <w:tcW w:w="8654" w:type="dxa"/>
          </w:tcPr>
          <w:p w14:paraId="1486D38C" w14:textId="6BF6D1C8" w:rsidR="0048655A" w:rsidRPr="009F4BC6" w:rsidRDefault="00EC131C" w:rsidP="0048655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Adults with schizophrenia, schizoaffective disorder, and bipolar disorder</w:t>
            </w:r>
          </w:p>
        </w:tc>
      </w:tr>
      <w:tr w:rsidR="008E6D2C" w:rsidRPr="009F4BC6" w14:paraId="5B80BED5" w14:textId="77777777" w:rsidTr="00020B18">
        <w:trPr>
          <w:trHeight w:val="276"/>
        </w:trPr>
        <w:tc>
          <w:tcPr>
            <w:tcW w:w="2051" w:type="dxa"/>
          </w:tcPr>
          <w:p w14:paraId="0D0B7C0D" w14:textId="77777777" w:rsidR="0048655A" w:rsidRPr="009F4BC6" w:rsidRDefault="0048655A" w:rsidP="0048655A">
            <w:pPr>
              <w:spacing w:line="259" w:lineRule="auto"/>
              <w:rPr>
                <w:rFonts w:ascii="Arial" w:hAnsi="Arial" w:cs="Arial"/>
              </w:rPr>
            </w:pPr>
            <w:r w:rsidRPr="009F4BC6">
              <w:rPr>
                <w:rFonts w:ascii="Arial" w:hAnsi="Arial" w:cs="Arial"/>
              </w:rPr>
              <w:t>Intervention or Exposure</w:t>
            </w:r>
          </w:p>
        </w:tc>
        <w:tc>
          <w:tcPr>
            <w:tcW w:w="8654" w:type="dxa"/>
          </w:tcPr>
          <w:p w14:paraId="0CA2C589" w14:textId="00F51EEC" w:rsidR="0048655A" w:rsidRPr="009F4BC6" w:rsidRDefault="00B82A6E" w:rsidP="0048655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Enrollment in SPMI Population Care at 6 KPNC demonstration sites</w:t>
            </w:r>
            <w:r w:rsidR="0048655A" w:rsidRPr="009F4BC6">
              <w:rPr>
                <w:rFonts w:ascii="Arial" w:hAnsi="Arial" w:cs="Arial"/>
              </w:rPr>
              <w:t xml:space="preserve"> </w:t>
            </w:r>
            <w:r w:rsidR="00157818">
              <w:rPr>
                <w:rFonts w:ascii="Arial" w:hAnsi="Arial" w:cs="Arial"/>
              </w:rPr>
              <w:t>versus usual psychiatric care at 6 non-program sites</w:t>
            </w:r>
          </w:p>
        </w:tc>
      </w:tr>
      <w:tr w:rsidR="008E6D2C" w:rsidRPr="009F4BC6" w14:paraId="13978FD3" w14:textId="77777777" w:rsidTr="00020B18">
        <w:trPr>
          <w:trHeight w:val="2282"/>
        </w:trPr>
        <w:tc>
          <w:tcPr>
            <w:tcW w:w="2051" w:type="dxa"/>
          </w:tcPr>
          <w:p w14:paraId="7525D5B4" w14:textId="77777777" w:rsidR="0048655A" w:rsidRPr="009F4BC6" w:rsidRDefault="0048655A" w:rsidP="0048655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4BC6">
              <w:rPr>
                <w:rFonts w:ascii="Arial" w:hAnsi="Arial" w:cs="Arial"/>
                <w:b/>
                <w:bCs/>
              </w:rPr>
              <w:t>Outcomes/Key Findings</w:t>
            </w:r>
          </w:p>
        </w:tc>
        <w:tc>
          <w:tcPr>
            <w:tcW w:w="8654" w:type="dxa"/>
          </w:tcPr>
          <w:p w14:paraId="3CD35CB0" w14:textId="09139C87" w:rsidR="0048655A" w:rsidRPr="009F4BC6" w:rsidRDefault="00803E17" w:rsidP="00D6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157818">
              <w:rPr>
                <w:rFonts w:ascii="Arial" w:hAnsi="Arial" w:cs="Arial"/>
                <w:b/>
                <w:bCs/>
              </w:rPr>
              <w:t xml:space="preserve">igh program engagement and significant 1-year improvements on psychiatric </w:t>
            </w:r>
            <w:r w:rsidR="00157818" w:rsidRPr="00157818">
              <w:rPr>
                <w:rFonts w:ascii="Arial" w:hAnsi="Arial" w:cs="Arial"/>
                <w:b/>
                <w:bCs/>
              </w:rPr>
              <w:t>medication adherence</w:t>
            </w:r>
            <w:r w:rsidR="00E978C2">
              <w:rPr>
                <w:rFonts w:ascii="Arial" w:hAnsi="Arial" w:cs="Arial"/>
                <w:b/>
                <w:bCs/>
              </w:rPr>
              <w:t xml:space="preserve"> </w:t>
            </w:r>
            <w:r w:rsidR="00157818">
              <w:rPr>
                <w:rFonts w:ascii="Arial" w:hAnsi="Arial" w:cs="Arial"/>
                <w:b/>
                <w:bCs/>
              </w:rPr>
              <w:t xml:space="preserve">and other </w:t>
            </w:r>
            <w:r w:rsidR="00D463DB">
              <w:rPr>
                <w:rFonts w:ascii="Arial" w:hAnsi="Arial" w:cs="Arial"/>
                <w:b/>
                <w:bCs/>
              </w:rPr>
              <w:t xml:space="preserve">key </w:t>
            </w:r>
            <w:r w:rsidR="00157818">
              <w:rPr>
                <w:rFonts w:ascii="Arial" w:hAnsi="Arial" w:cs="Arial"/>
                <w:b/>
                <w:bCs/>
              </w:rPr>
              <w:t xml:space="preserve">preventive care </w:t>
            </w:r>
            <w:r w:rsidR="00E978C2">
              <w:rPr>
                <w:rFonts w:ascii="Arial" w:hAnsi="Arial" w:cs="Arial"/>
                <w:b/>
                <w:bCs/>
              </w:rPr>
              <w:t xml:space="preserve">(including HEDIS outcomes) </w:t>
            </w:r>
            <w:r w:rsidR="00B93904">
              <w:rPr>
                <w:rFonts w:ascii="Arial" w:hAnsi="Arial" w:cs="Arial"/>
                <w:b/>
                <w:bCs/>
              </w:rPr>
              <w:t xml:space="preserve">were observed </w:t>
            </w:r>
            <w:r w:rsidR="00157818">
              <w:rPr>
                <w:rFonts w:ascii="Arial" w:hAnsi="Arial" w:cs="Arial"/>
                <w:b/>
                <w:bCs/>
              </w:rPr>
              <w:t xml:space="preserve">for </w:t>
            </w:r>
            <w:r w:rsidR="00157818" w:rsidRPr="00157818">
              <w:rPr>
                <w:rFonts w:ascii="Arial" w:hAnsi="Arial" w:cs="Arial"/>
                <w:b/>
                <w:bCs/>
              </w:rPr>
              <w:t>Population Care v</w:t>
            </w:r>
            <w:r w:rsidR="00157818">
              <w:rPr>
                <w:rFonts w:ascii="Arial" w:hAnsi="Arial" w:cs="Arial"/>
                <w:b/>
                <w:bCs/>
              </w:rPr>
              <w:t>ersus</w:t>
            </w:r>
            <w:r w:rsidR="00157818" w:rsidRPr="00157818">
              <w:rPr>
                <w:rFonts w:ascii="Arial" w:hAnsi="Arial" w:cs="Arial"/>
                <w:b/>
                <w:bCs/>
              </w:rPr>
              <w:t xml:space="preserve"> Usual Care patients.</w:t>
            </w:r>
            <w:r w:rsidR="00157818">
              <w:rPr>
                <w:rFonts w:ascii="Arial" w:hAnsi="Arial" w:cs="Arial"/>
                <w:b/>
                <w:bCs/>
              </w:rPr>
              <w:t xml:space="preserve"> </w:t>
            </w:r>
            <w:r w:rsidR="00D463DB">
              <w:t xml:space="preserve"> </w:t>
            </w:r>
            <w:r w:rsidR="00D463DB">
              <w:rPr>
                <w:rFonts w:ascii="Arial" w:hAnsi="Arial" w:cs="Arial"/>
              </w:rPr>
              <w:t xml:space="preserve">Nearly 90% </w:t>
            </w:r>
            <w:r w:rsidR="00D463DB" w:rsidRPr="00D463DB">
              <w:rPr>
                <w:rFonts w:ascii="Arial" w:hAnsi="Arial" w:cs="Arial"/>
              </w:rPr>
              <w:t xml:space="preserve">of </w:t>
            </w:r>
            <w:r w:rsidR="00D61334">
              <w:rPr>
                <w:rFonts w:ascii="Arial" w:hAnsi="Arial" w:cs="Arial"/>
              </w:rPr>
              <w:t xml:space="preserve">enrolled </w:t>
            </w:r>
            <w:r w:rsidR="00D463DB" w:rsidRPr="00D463DB">
              <w:rPr>
                <w:rFonts w:ascii="Arial" w:hAnsi="Arial" w:cs="Arial"/>
              </w:rPr>
              <w:t xml:space="preserve">Population Care patients attended </w:t>
            </w:r>
            <w:r w:rsidR="00D463DB">
              <w:rPr>
                <w:rFonts w:ascii="Arial" w:hAnsi="Arial" w:cs="Arial"/>
              </w:rPr>
              <w:t>a program</w:t>
            </w:r>
            <w:r w:rsidR="00D463DB" w:rsidRPr="00D463DB">
              <w:rPr>
                <w:rFonts w:ascii="Arial" w:hAnsi="Arial" w:cs="Arial"/>
              </w:rPr>
              <w:t xml:space="preserve"> intake and of these, 87% attended ≥ 1 follow-up visit. Among Population Care </w:t>
            </w:r>
            <w:r w:rsidR="00D463DB">
              <w:rPr>
                <w:rFonts w:ascii="Arial" w:hAnsi="Arial" w:cs="Arial"/>
              </w:rPr>
              <w:t>patients</w:t>
            </w:r>
            <w:r w:rsidR="00D463DB" w:rsidRPr="00D463DB">
              <w:rPr>
                <w:rFonts w:ascii="Arial" w:hAnsi="Arial" w:cs="Arial"/>
              </w:rPr>
              <w:t xml:space="preserve"> who lacked a </w:t>
            </w:r>
            <w:r w:rsidR="00D463DB">
              <w:rPr>
                <w:rFonts w:ascii="Arial" w:hAnsi="Arial" w:cs="Arial"/>
              </w:rPr>
              <w:t xml:space="preserve">recent </w:t>
            </w:r>
            <w:r w:rsidR="00D463DB" w:rsidRPr="00D463DB">
              <w:rPr>
                <w:rFonts w:ascii="Arial" w:hAnsi="Arial" w:cs="Arial"/>
              </w:rPr>
              <w:t>psychiatrist visit, 87% were re-engaged in care by the program.</w:t>
            </w:r>
            <w:r w:rsidR="00D463DB">
              <w:rPr>
                <w:rFonts w:ascii="Arial" w:hAnsi="Arial" w:cs="Arial"/>
              </w:rPr>
              <w:t xml:space="preserve"> Relative to Usual Care, the Population Care group had a 6-percentage-point increase in optimal p</w:t>
            </w:r>
            <w:r w:rsidR="00D463DB" w:rsidRPr="00D463DB">
              <w:rPr>
                <w:rFonts w:ascii="Arial" w:hAnsi="Arial" w:cs="Arial"/>
              </w:rPr>
              <w:t>sychotropic medication adherence</w:t>
            </w:r>
            <w:r w:rsidR="00D463DB">
              <w:rPr>
                <w:rFonts w:ascii="Arial" w:hAnsi="Arial" w:cs="Arial"/>
              </w:rPr>
              <w:t xml:space="preserve">, a 13-percentage-point increase in lipid screening, a </w:t>
            </w:r>
            <w:r w:rsidR="00D61334">
              <w:rPr>
                <w:rFonts w:ascii="Arial" w:hAnsi="Arial" w:cs="Arial"/>
              </w:rPr>
              <w:t xml:space="preserve">9-percentage-point increase in glycemic monitoring, and other preventive care improvements. </w:t>
            </w:r>
            <w:r w:rsidR="00157818" w:rsidRPr="00157818">
              <w:rPr>
                <w:rFonts w:ascii="Arial" w:hAnsi="Arial" w:cs="Arial"/>
              </w:rPr>
              <w:t>Compared to Usual Care,</w:t>
            </w:r>
            <w:r w:rsidR="00157818">
              <w:rPr>
                <w:rFonts w:ascii="Arial" w:hAnsi="Arial" w:cs="Arial"/>
                <w:b/>
                <w:bCs/>
              </w:rPr>
              <w:t xml:space="preserve"> </w:t>
            </w:r>
            <w:r w:rsidR="00157818">
              <w:rPr>
                <w:rFonts w:ascii="Arial" w:hAnsi="Arial" w:cs="Arial"/>
              </w:rPr>
              <w:t xml:space="preserve">Population Care patients also </w:t>
            </w:r>
            <w:r w:rsidR="0049294B">
              <w:rPr>
                <w:rFonts w:ascii="Arial" w:hAnsi="Arial" w:cs="Arial"/>
              </w:rPr>
              <w:t xml:space="preserve">significantly </w:t>
            </w:r>
            <w:r w:rsidR="00157818">
              <w:rPr>
                <w:rFonts w:ascii="Arial" w:hAnsi="Arial" w:cs="Arial"/>
              </w:rPr>
              <w:t>reduced their psychiatrist visit</w:t>
            </w:r>
            <w:r w:rsidR="00D61334">
              <w:rPr>
                <w:rFonts w:ascii="Arial" w:hAnsi="Arial" w:cs="Arial"/>
              </w:rPr>
              <w:t>ing</w:t>
            </w:r>
            <w:r w:rsidR="00157818">
              <w:rPr>
                <w:rFonts w:ascii="Arial" w:hAnsi="Arial" w:cs="Arial"/>
              </w:rPr>
              <w:t xml:space="preserve"> </w:t>
            </w:r>
            <w:r w:rsidR="003365DE">
              <w:rPr>
                <w:rFonts w:ascii="Arial" w:hAnsi="Arial" w:cs="Arial"/>
              </w:rPr>
              <w:t xml:space="preserve">by 6 percentage-points </w:t>
            </w:r>
            <w:r w:rsidR="00D61334">
              <w:rPr>
                <w:rFonts w:ascii="Arial" w:hAnsi="Arial" w:cs="Arial"/>
              </w:rPr>
              <w:t>(</w:t>
            </w:r>
            <w:r w:rsidR="0049294B">
              <w:rPr>
                <w:rFonts w:ascii="Arial" w:hAnsi="Arial" w:cs="Arial"/>
              </w:rPr>
              <w:t>i.e., proportion with any annual visit</w:t>
            </w:r>
            <w:r w:rsidR="00D61334">
              <w:rPr>
                <w:rFonts w:ascii="Arial" w:hAnsi="Arial" w:cs="Arial"/>
              </w:rPr>
              <w:t xml:space="preserve">) </w:t>
            </w:r>
            <w:r w:rsidR="00157818">
              <w:rPr>
                <w:rFonts w:ascii="Arial" w:hAnsi="Arial" w:cs="Arial"/>
              </w:rPr>
              <w:t>without worsening their mental health status</w:t>
            </w:r>
            <w:r w:rsidR="0049294B">
              <w:rPr>
                <w:rFonts w:ascii="Arial" w:hAnsi="Arial" w:cs="Arial"/>
              </w:rPr>
              <w:t xml:space="preserve"> (based on self-report and psychiatric utilization)</w:t>
            </w:r>
            <w:r w:rsidR="00157818">
              <w:rPr>
                <w:rFonts w:ascii="Arial" w:hAnsi="Arial" w:cs="Arial"/>
              </w:rPr>
              <w:t xml:space="preserve">. Population Care </w:t>
            </w:r>
            <w:r w:rsidR="00D61334">
              <w:rPr>
                <w:rFonts w:ascii="Arial" w:hAnsi="Arial" w:cs="Arial"/>
              </w:rPr>
              <w:t xml:space="preserve">patients </w:t>
            </w:r>
            <w:r w:rsidR="00157818">
              <w:rPr>
                <w:rFonts w:ascii="Arial" w:hAnsi="Arial" w:cs="Arial"/>
              </w:rPr>
              <w:t>also had relatively lower hospital use (all-cause and psychiatric), but th</w:t>
            </w:r>
            <w:r w:rsidR="00D61334">
              <w:rPr>
                <w:rFonts w:ascii="Arial" w:hAnsi="Arial" w:cs="Arial"/>
              </w:rPr>
              <w:t>e</w:t>
            </w:r>
            <w:r w:rsidR="00157818">
              <w:rPr>
                <w:rFonts w:ascii="Arial" w:hAnsi="Arial" w:cs="Arial"/>
              </w:rPr>
              <w:t>s</w:t>
            </w:r>
            <w:r w:rsidR="00D61334">
              <w:rPr>
                <w:rFonts w:ascii="Arial" w:hAnsi="Arial" w:cs="Arial"/>
              </w:rPr>
              <w:t>e</w:t>
            </w:r>
            <w:r w:rsidR="00157818">
              <w:rPr>
                <w:rFonts w:ascii="Arial" w:hAnsi="Arial" w:cs="Arial"/>
              </w:rPr>
              <w:t xml:space="preserve"> difference</w:t>
            </w:r>
            <w:r w:rsidR="00D61334">
              <w:rPr>
                <w:rFonts w:ascii="Arial" w:hAnsi="Arial" w:cs="Arial"/>
              </w:rPr>
              <w:t>s</w:t>
            </w:r>
            <w:r w:rsidR="00157818">
              <w:rPr>
                <w:rFonts w:ascii="Arial" w:hAnsi="Arial" w:cs="Arial"/>
              </w:rPr>
              <w:t xml:space="preserve"> </w:t>
            </w:r>
            <w:r w:rsidR="000B0B25">
              <w:rPr>
                <w:rFonts w:ascii="Arial" w:hAnsi="Arial" w:cs="Arial"/>
              </w:rPr>
              <w:t>from</w:t>
            </w:r>
            <w:r w:rsidR="00D61334">
              <w:rPr>
                <w:rFonts w:ascii="Arial" w:hAnsi="Arial" w:cs="Arial"/>
              </w:rPr>
              <w:t xml:space="preserve"> Usual Care were</w:t>
            </w:r>
            <w:r w:rsidR="00157818">
              <w:rPr>
                <w:rFonts w:ascii="Arial" w:hAnsi="Arial" w:cs="Arial"/>
              </w:rPr>
              <w:t xml:space="preserve"> not statistically significant.</w:t>
            </w:r>
            <w:r w:rsidR="00C73A94" w:rsidRPr="009F4BC6">
              <w:rPr>
                <w:rFonts w:ascii="Arial" w:hAnsi="Arial" w:cs="Arial"/>
                <w:bCs/>
              </w:rPr>
              <w:t xml:space="preserve"> </w:t>
            </w:r>
            <w:r w:rsidR="0048655A" w:rsidRPr="009F4BC6">
              <w:rPr>
                <w:rFonts w:ascii="Arial" w:hAnsi="Arial" w:cs="Arial"/>
              </w:rPr>
              <w:t xml:space="preserve"> </w:t>
            </w:r>
          </w:p>
        </w:tc>
      </w:tr>
      <w:tr w:rsidR="008E6D2C" w:rsidRPr="009F4BC6" w14:paraId="62542513" w14:textId="77777777" w:rsidTr="00020B18">
        <w:trPr>
          <w:trHeight w:val="816"/>
        </w:trPr>
        <w:tc>
          <w:tcPr>
            <w:tcW w:w="2051" w:type="dxa"/>
          </w:tcPr>
          <w:p w14:paraId="38755ADC" w14:textId="77777777" w:rsidR="0048655A" w:rsidRPr="00EC1975" w:rsidRDefault="0048655A" w:rsidP="0048655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C1975">
              <w:rPr>
                <w:rFonts w:ascii="Arial" w:hAnsi="Arial" w:cs="Arial"/>
                <w:b/>
                <w:bCs/>
              </w:rPr>
              <w:t>Resulting Action/Change</w:t>
            </w:r>
          </w:p>
        </w:tc>
        <w:tc>
          <w:tcPr>
            <w:tcW w:w="8654" w:type="dxa"/>
          </w:tcPr>
          <w:p w14:paraId="5531265E" w14:textId="75A77DC3" w:rsidR="0048655A" w:rsidRPr="00E978C2" w:rsidRDefault="009F4BC6" w:rsidP="000B0B25">
            <w:pPr>
              <w:rPr>
                <w:rFonts w:ascii="Arial" w:hAnsi="Arial" w:cs="Arial"/>
                <w:b/>
                <w:bCs/>
              </w:rPr>
            </w:pPr>
            <w:r w:rsidRPr="00E978C2">
              <w:rPr>
                <w:rFonts w:ascii="Arial" w:hAnsi="Arial" w:cs="Arial"/>
                <w:b/>
                <w:bCs/>
              </w:rPr>
              <w:t xml:space="preserve">SPMI Population Care </w:t>
            </w:r>
            <w:r w:rsidR="00EC4275" w:rsidRPr="00E978C2">
              <w:rPr>
                <w:rFonts w:ascii="Arial" w:hAnsi="Arial" w:cs="Arial"/>
                <w:b/>
                <w:bCs/>
              </w:rPr>
              <w:t xml:space="preserve">is expanding. </w:t>
            </w:r>
            <w:r w:rsidR="00EC4275" w:rsidRPr="00E978C2">
              <w:rPr>
                <w:rFonts w:ascii="Arial" w:hAnsi="Arial" w:cs="Arial"/>
              </w:rPr>
              <w:t xml:space="preserve">RWC and SFO Psychiatry will add the program in Fall </w:t>
            </w:r>
            <w:r w:rsidR="000B0B25" w:rsidRPr="00E978C2">
              <w:rPr>
                <w:rFonts w:ascii="Arial" w:hAnsi="Arial" w:cs="Arial"/>
              </w:rPr>
              <w:t xml:space="preserve">of </w:t>
            </w:r>
            <w:r w:rsidR="00EC4275" w:rsidRPr="00E978C2">
              <w:rPr>
                <w:rFonts w:ascii="Arial" w:hAnsi="Arial" w:cs="Arial"/>
              </w:rPr>
              <w:t>2023.</w:t>
            </w:r>
          </w:p>
          <w:p w14:paraId="43BD9A50" w14:textId="77777777" w:rsidR="000B0B25" w:rsidRPr="00E978C2" w:rsidRDefault="000B0B25" w:rsidP="000B0B25">
            <w:pPr>
              <w:rPr>
                <w:rFonts w:ascii="Arial" w:hAnsi="Arial" w:cs="Arial"/>
                <w:b/>
                <w:bCs/>
              </w:rPr>
            </w:pPr>
          </w:p>
          <w:p w14:paraId="092B6F29" w14:textId="0B7C89C2" w:rsidR="00EC4275" w:rsidRPr="00E978C2" w:rsidRDefault="00D61334" w:rsidP="000B0B25">
            <w:pPr>
              <w:rPr>
                <w:rFonts w:ascii="Arial" w:hAnsi="Arial" w:cs="Arial"/>
                <w:b/>
                <w:bCs/>
              </w:rPr>
            </w:pPr>
            <w:r w:rsidRPr="00E978C2">
              <w:rPr>
                <w:rFonts w:ascii="Arial" w:hAnsi="Arial" w:cs="Arial"/>
                <w:b/>
                <w:bCs/>
              </w:rPr>
              <w:t xml:space="preserve">The </w:t>
            </w:r>
            <w:r w:rsidR="00F01B78" w:rsidRPr="00E978C2">
              <w:rPr>
                <w:rFonts w:ascii="Arial" w:hAnsi="Arial" w:cs="Arial"/>
                <w:b/>
                <w:bCs/>
              </w:rPr>
              <w:t xml:space="preserve">project informed needed process improvements to </w:t>
            </w:r>
            <w:r w:rsidR="00EC4275" w:rsidRPr="00E978C2">
              <w:rPr>
                <w:rFonts w:ascii="Arial" w:hAnsi="Arial" w:cs="Arial"/>
                <w:b/>
                <w:bCs/>
              </w:rPr>
              <w:t>increase efficiency and impact</w:t>
            </w:r>
            <w:r w:rsidR="00F01B78" w:rsidRPr="00E978C2">
              <w:rPr>
                <w:rFonts w:ascii="Arial" w:hAnsi="Arial" w:cs="Arial"/>
                <w:b/>
                <w:bCs/>
              </w:rPr>
              <w:t xml:space="preserve">. </w:t>
            </w:r>
            <w:r w:rsidR="00F01B78" w:rsidRPr="00E978C2">
              <w:rPr>
                <w:rFonts w:ascii="Arial" w:hAnsi="Arial" w:cs="Arial"/>
              </w:rPr>
              <w:t>Specifically, patients have needed additional reminders to pick up medications and get labs done. We are developing a reminder protocol with Regional Outreach Strategy Center of Excellence (ROSCOE).</w:t>
            </w:r>
          </w:p>
        </w:tc>
      </w:tr>
      <w:tr w:rsidR="008E6D2C" w:rsidRPr="009F4BC6" w14:paraId="57800790" w14:textId="77777777" w:rsidTr="00020B18">
        <w:trPr>
          <w:trHeight w:val="816"/>
        </w:trPr>
        <w:tc>
          <w:tcPr>
            <w:tcW w:w="2051" w:type="dxa"/>
          </w:tcPr>
          <w:p w14:paraId="6C4E04AC" w14:textId="161310DB" w:rsidR="00CB0455" w:rsidRPr="009F4BC6" w:rsidRDefault="00CB0455" w:rsidP="0048655A">
            <w:pPr>
              <w:rPr>
                <w:rFonts w:ascii="Arial" w:hAnsi="Arial" w:cs="Arial"/>
              </w:rPr>
            </w:pPr>
            <w:r w:rsidRPr="009F4BC6">
              <w:rPr>
                <w:rFonts w:ascii="Arial" w:hAnsi="Arial" w:cs="Arial"/>
              </w:rPr>
              <w:t>Additional Recommendations</w:t>
            </w:r>
          </w:p>
        </w:tc>
        <w:tc>
          <w:tcPr>
            <w:tcW w:w="8654" w:type="dxa"/>
          </w:tcPr>
          <w:p w14:paraId="59AF64E8" w14:textId="07F4F194" w:rsidR="006146D4" w:rsidRPr="00CF5767" w:rsidRDefault="00E978C2" w:rsidP="000D4B6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</w:rPr>
            </w:pPr>
            <w:r w:rsidRPr="00CF5767">
              <w:rPr>
                <w:rFonts w:ascii="Arial" w:hAnsi="Arial" w:cs="Arial"/>
                <w:noProof/>
                <w:sz w:val="22"/>
              </w:rPr>
              <w:t>Program enhancements may help mitigate clinical pharmacist burnout</w:t>
            </w:r>
            <w:r w:rsidR="006146D4" w:rsidRPr="00CF5767">
              <w:rPr>
                <w:rFonts w:ascii="Arial" w:hAnsi="Arial" w:cs="Arial"/>
                <w:noProof/>
                <w:sz w:val="22"/>
              </w:rPr>
              <w:t xml:space="preserve"> and increase impact</w:t>
            </w:r>
            <w:r w:rsidRPr="00CF5767">
              <w:rPr>
                <w:rFonts w:ascii="Arial" w:hAnsi="Arial" w:cs="Arial"/>
                <w:noProof/>
                <w:sz w:val="22"/>
              </w:rPr>
              <w:t xml:space="preserve">, such as </w:t>
            </w:r>
            <w:r w:rsidRPr="00CF5767">
              <w:rPr>
                <w:rFonts w:ascii="Arial" w:hAnsi="Arial" w:cs="Arial"/>
                <w:b/>
                <w:bCs/>
                <w:noProof/>
                <w:sz w:val="22"/>
              </w:rPr>
              <w:t>case management services</w:t>
            </w:r>
            <w:r w:rsidRPr="00CF5767">
              <w:rPr>
                <w:rFonts w:ascii="Arial" w:hAnsi="Arial" w:cs="Arial"/>
                <w:noProof/>
                <w:sz w:val="22"/>
              </w:rPr>
              <w:t xml:space="preserve"> </w:t>
            </w:r>
            <w:r w:rsidR="006146D4" w:rsidRPr="00CF5767">
              <w:rPr>
                <w:rFonts w:ascii="Arial" w:hAnsi="Arial" w:cs="Arial"/>
                <w:noProof/>
                <w:sz w:val="22"/>
              </w:rPr>
              <w:t>for patients with limited functioning.</w:t>
            </w:r>
          </w:p>
          <w:p w14:paraId="7C19FBBC" w14:textId="3FDDA7CE" w:rsidR="006146D4" w:rsidRDefault="006146D4" w:rsidP="00E978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Development of a </w:t>
            </w:r>
            <w:r w:rsidRPr="006146D4">
              <w:rPr>
                <w:rFonts w:ascii="Arial" w:hAnsi="Arial" w:cs="Arial"/>
                <w:b/>
                <w:bCs/>
                <w:noProof/>
                <w:sz w:val="22"/>
              </w:rPr>
              <w:t>patient registry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6146D4">
              <w:rPr>
                <w:rFonts w:ascii="Arial" w:hAnsi="Arial" w:cs="Arial"/>
                <w:b/>
                <w:bCs/>
                <w:noProof/>
                <w:sz w:val="22"/>
              </w:rPr>
              <w:t>dashboard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</w:rPr>
              <w:t>may increase program efficiency.</w:t>
            </w:r>
          </w:p>
          <w:p w14:paraId="0473C8FA" w14:textId="4928CFB2" w:rsidR="006146D4" w:rsidRDefault="00DF4D17" w:rsidP="006146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</w:rPr>
              <w:t>F</w:t>
            </w:r>
            <w:r w:rsidR="00E978C2" w:rsidRPr="006146D4">
              <w:rPr>
                <w:rFonts w:ascii="Arial" w:hAnsi="Arial" w:cs="Arial"/>
                <w:b/>
                <w:bCs/>
                <w:noProof/>
                <w:sz w:val="22"/>
              </w:rPr>
              <w:t>idelity across sites</w:t>
            </w:r>
            <w:r w:rsidR="00E978C2" w:rsidRPr="006146D4">
              <w:rPr>
                <w:rFonts w:ascii="Arial" w:hAnsi="Arial" w:cs="Arial"/>
                <w:noProof/>
                <w:sz w:val="22"/>
              </w:rPr>
              <w:t xml:space="preserve"> </w:t>
            </w:r>
            <w:r w:rsidR="006146D4">
              <w:rPr>
                <w:rFonts w:ascii="Arial" w:hAnsi="Arial" w:cs="Arial"/>
                <w:noProof/>
                <w:sz w:val="22"/>
              </w:rPr>
              <w:t>should be monitored to maintain a standardized approach to assessment and care.</w:t>
            </w:r>
          </w:p>
          <w:p w14:paraId="08163871" w14:textId="484E52AE" w:rsidR="00CB0455" w:rsidRPr="006146D4" w:rsidRDefault="00DF4D17" w:rsidP="00CF576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Collect a</w:t>
            </w:r>
            <w:r w:rsidR="00CF5767">
              <w:rPr>
                <w:rFonts w:ascii="Arial" w:hAnsi="Arial" w:cs="Arial"/>
                <w:noProof/>
                <w:sz w:val="22"/>
              </w:rPr>
              <w:t xml:space="preserve">dditional </w:t>
            </w:r>
            <w:r w:rsidR="006146D4" w:rsidRPr="00CF5767">
              <w:rPr>
                <w:rFonts w:ascii="Arial" w:hAnsi="Arial" w:cs="Arial"/>
                <w:b/>
                <w:bCs/>
                <w:noProof/>
                <w:sz w:val="22"/>
              </w:rPr>
              <w:t>patient-reported outcomes</w:t>
            </w:r>
            <w:r w:rsidR="006146D4">
              <w:rPr>
                <w:rFonts w:ascii="Arial" w:hAnsi="Arial" w:cs="Arial"/>
                <w:noProof/>
                <w:sz w:val="22"/>
              </w:rPr>
              <w:t xml:space="preserve"> </w:t>
            </w:r>
            <w:r w:rsidR="00CF5767">
              <w:rPr>
                <w:rFonts w:ascii="Arial" w:hAnsi="Arial" w:cs="Arial"/>
                <w:noProof/>
                <w:sz w:val="22"/>
              </w:rPr>
              <w:t>more routinely</w:t>
            </w:r>
            <w:r>
              <w:rPr>
                <w:rFonts w:ascii="Arial" w:hAnsi="Arial" w:cs="Arial"/>
                <w:noProof/>
                <w:sz w:val="22"/>
              </w:rPr>
              <w:t xml:space="preserve">; </w:t>
            </w:r>
            <w:r w:rsidR="00CF5767">
              <w:rPr>
                <w:rFonts w:ascii="Arial" w:hAnsi="Arial" w:cs="Arial"/>
                <w:noProof/>
                <w:sz w:val="22"/>
              </w:rPr>
              <w:t xml:space="preserve">PHQ-9 and other commonly implemented measures do not </w:t>
            </w:r>
            <w:r w:rsidR="006146D4">
              <w:rPr>
                <w:rFonts w:ascii="Arial" w:hAnsi="Arial" w:cs="Arial"/>
                <w:noProof/>
                <w:sz w:val="22"/>
              </w:rPr>
              <w:t xml:space="preserve">capture the range of symptoms </w:t>
            </w:r>
            <w:r w:rsidR="00CF5767">
              <w:rPr>
                <w:rFonts w:ascii="Arial" w:hAnsi="Arial" w:cs="Arial"/>
                <w:noProof/>
                <w:sz w:val="22"/>
              </w:rPr>
              <w:t xml:space="preserve">experienced by people with SPMI. </w:t>
            </w:r>
          </w:p>
        </w:tc>
      </w:tr>
      <w:tr w:rsidR="008E6D2C" w:rsidRPr="009F4BC6" w14:paraId="21F6FB6D" w14:textId="77777777" w:rsidTr="00020B18">
        <w:trPr>
          <w:trHeight w:val="552"/>
        </w:trPr>
        <w:tc>
          <w:tcPr>
            <w:tcW w:w="2051" w:type="dxa"/>
          </w:tcPr>
          <w:p w14:paraId="511F380C" w14:textId="77777777" w:rsidR="0048655A" w:rsidRPr="00F01B78" w:rsidRDefault="0048655A" w:rsidP="0048655A">
            <w:pPr>
              <w:spacing w:line="259" w:lineRule="auto"/>
              <w:rPr>
                <w:rFonts w:ascii="Arial" w:hAnsi="Arial" w:cs="Arial"/>
              </w:rPr>
            </w:pPr>
            <w:r w:rsidRPr="00F01B78">
              <w:rPr>
                <w:rFonts w:ascii="Arial" w:hAnsi="Arial" w:cs="Arial"/>
              </w:rPr>
              <w:t>Implementation Tools</w:t>
            </w:r>
            <w:r w:rsidRPr="00F01B78">
              <w:rPr>
                <w:rFonts w:ascii="Arial" w:hAnsi="Arial" w:cs="Arial"/>
              </w:rPr>
              <w:tab/>
            </w:r>
          </w:p>
        </w:tc>
        <w:tc>
          <w:tcPr>
            <w:tcW w:w="8654" w:type="dxa"/>
          </w:tcPr>
          <w:p w14:paraId="35B5FEA6" w14:textId="03CCA746" w:rsidR="0048655A" w:rsidRPr="00B61C3A" w:rsidRDefault="00D15859" w:rsidP="00B61C3A">
            <w:pPr>
              <w:rPr>
                <w:rFonts w:ascii="Arial" w:hAnsi="Arial" w:cs="Arial"/>
              </w:rPr>
            </w:pPr>
            <w:r w:rsidRPr="00B61C3A">
              <w:rPr>
                <w:rFonts w:ascii="Arial" w:hAnsi="Arial" w:cs="Arial"/>
              </w:rPr>
              <w:t xml:space="preserve">SPMI Population Care program </w:t>
            </w:r>
            <w:r w:rsidR="00366089" w:rsidRPr="00B61C3A">
              <w:rPr>
                <w:rFonts w:ascii="Arial" w:hAnsi="Arial" w:cs="Arial"/>
              </w:rPr>
              <w:t xml:space="preserve">clinicians </w:t>
            </w:r>
            <w:r w:rsidRPr="00B61C3A">
              <w:rPr>
                <w:rFonts w:ascii="Arial" w:hAnsi="Arial" w:cs="Arial"/>
              </w:rPr>
              <w:t xml:space="preserve">and physician extenders to support patients across psychiatry. </w:t>
            </w:r>
          </w:p>
        </w:tc>
      </w:tr>
      <w:tr w:rsidR="008E6D2C" w:rsidRPr="009F4BC6" w14:paraId="02D4678D" w14:textId="77777777" w:rsidTr="00020B18">
        <w:trPr>
          <w:trHeight w:val="552"/>
        </w:trPr>
        <w:tc>
          <w:tcPr>
            <w:tcW w:w="2051" w:type="dxa"/>
            <w:tcBorders>
              <w:bottom w:val="single" w:sz="4" w:space="0" w:color="auto"/>
            </w:tcBorders>
          </w:tcPr>
          <w:p w14:paraId="1B184543" w14:textId="77777777" w:rsidR="0048655A" w:rsidRPr="009F4BC6" w:rsidRDefault="0048655A" w:rsidP="0048655A">
            <w:pPr>
              <w:spacing w:line="259" w:lineRule="auto"/>
              <w:rPr>
                <w:rFonts w:ascii="Arial" w:hAnsi="Arial" w:cs="Arial"/>
              </w:rPr>
            </w:pPr>
            <w:r w:rsidRPr="009F4BC6">
              <w:rPr>
                <w:rFonts w:ascii="Arial" w:hAnsi="Arial" w:cs="Arial"/>
              </w:rPr>
              <w:t>Implementation Measurement</w:t>
            </w:r>
          </w:p>
        </w:tc>
        <w:tc>
          <w:tcPr>
            <w:tcW w:w="8654" w:type="dxa"/>
          </w:tcPr>
          <w:p w14:paraId="35D95437" w14:textId="6D0C8DE2" w:rsidR="00E978C2" w:rsidRPr="002C4B82" w:rsidRDefault="00E978C2" w:rsidP="00E978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E978C2">
              <w:rPr>
                <w:rFonts w:ascii="Arial" w:hAnsi="Arial" w:cs="Arial"/>
                <w:sz w:val="22"/>
              </w:rPr>
              <w:t xml:space="preserve">Proportion of </w:t>
            </w:r>
            <w:r w:rsidR="006146D4" w:rsidRPr="002C4B82">
              <w:rPr>
                <w:rFonts w:ascii="Arial" w:hAnsi="Arial" w:cs="Arial"/>
                <w:sz w:val="22"/>
              </w:rPr>
              <w:t>enrolled patients who attended</w:t>
            </w:r>
            <w:r w:rsidR="00473A4B" w:rsidRPr="002C4B82">
              <w:rPr>
                <w:rFonts w:ascii="Arial" w:hAnsi="Arial" w:cs="Arial"/>
                <w:sz w:val="22"/>
              </w:rPr>
              <w:t xml:space="preserve"> initial</w:t>
            </w:r>
            <w:r w:rsidR="006146D4" w:rsidRPr="002C4B82">
              <w:rPr>
                <w:rFonts w:ascii="Arial" w:hAnsi="Arial" w:cs="Arial"/>
                <w:sz w:val="22"/>
              </w:rPr>
              <w:t xml:space="preserve"> intake</w:t>
            </w:r>
            <w:r w:rsidR="00473A4B" w:rsidRPr="002C4B82">
              <w:rPr>
                <w:rFonts w:ascii="Arial" w:hAnsi="Arial" w:cs="Arial"/>
                <w:sz w:val="22"/>
              </w:rPr>
              <w:t xml:space="preserve"> appointments</w:t>
            </w:r>
          </w:p>
          <w:p w14:paraId="7876516D" w14:textId="693CCBF7" w:rsidR="006146D4" w:rsidRDefault="006146D4" w:rsidP="00E978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Proportion of patients without recent psychiatrist visit who were re-engaged in care</w:t>
            </w:r>
          </w:p>
          <w:p w14:paraId="376597BB" w14:textId="1AD395FE" w:rsidR="006146D4" w:rsidRPr="002C4B82" w:rsidRDefault="006146D4" w:rsidP="00E978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Any </w:t>
            </w:r>
            <w:r w:rsidRPr="002C4B82">
              <w:rPr>
                <w:rFonts w:ascii="Arial" w:hAnsi="Arial" w:cs="Arial"/>
                <w:sz w:val="22"/>
              </w:rPr>
              <w:t xml:space="preserve">follow-up visit after </w:t>
            </w:r>
            <w:r w:rsidR="00473A4B" w:rsidRPr="002C4B82">
              <w:rPr>
                <w:rFonts w:ascii="Arial" w:hAnsi="Arial" w:cs="Arial"/>
                <w:sz w:val="22"/>
              </w:rPr>
              <w:t xml:space="preserve">initial </w:t>
            </w:r>
            <w:r w:rsidRPr="002C4B82">
              <w:rPr>
                <w:rFonts w:ascii="Arial" w:hAnsi="Arial" w:cs="Arial"/>
                <w:sz w:val="22"/>
              </w:rPr>
              <w:t xml:space="preserve">intake </w:t>
            </w:r>
          </w:p>
          <w:p w14:paraId="0D25EBD1" w14:textId="51428096" w:rsidR="006146D4" w:rsidRPr="00E978C2" w:rsidRDefault="006146D4" w:rsidP="00E978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Follow-up visit</w:t>
            </w:r>
            <w:r w:rsidR="00020B18">
              <w:rPr>
                <w:rFonts w:ascii="Arial" w:hAnsi="Arial" w:cs="Arial"/>
                <w:sz w:val="22"/>
              </w:rPr>
              <w:t xml:space="preserve"> rate</w:t>
            </w:r>
            <w:r>
              <w:rPr>
                <w:rFonts w:ascii="Arial" w:hAnsi="Arial" w:cs="Arial"/>
                <w:sz w:val="22"/>
              </w:rPr>
              <w:t xml:space="preserve"> per quarter</w:t>
            </w:r>
          </w:p>
        </w:tc>
      </w:tr>
      <w:tr w:rsidR="00020B18" w:rsidRPr="009F4BC6" w14:paraId="1FF13BF0" w14:textId="77777777" w:rsidTr="00020B18">
        <w:trPr>
          <w:trHeight w:val="552"/>
        </w:trPr>
        <w:tc>
          <w:tcPr>
            <w:tcW w:w="2051" w:type="dxa"/>
            <w:tcBorders>
              <w:bottom w:val="nil"/>
            </w:tcBorders>
          </w:tcPr>
          <w:p w14:paraId="16594B6A" w14:textId="41565393" w:rsidR="00020B18" w:rsidRPr="009F4BC6" w:rsidRDefault="00020B18" w:rsidP="0048655A">
            <w:pPr>
              <w:rPr>
                <w:rFonts w:ascii="Arial" w:hAnsi="Arial" w:cs="Arial"/>
              </w:rPr>
            </w:pPr>
            <w:r w:rsidRPr="009F4BC6">
              <w:rPr>
                <w:rFonts w:ascii="Arial" w:hAnsi="Arial" w:cs="Arial"/>
              </w:rPr>
              <w:lastRenderedPageBreak/>
              <w:t>Reference</w:t>
            </w:r>
          </w:p>
        </w:tc>
        <w:tc>
          <w:tcPr>
            <w:tcW w:w="8654" w:type="dxa"/>
          </w:tcPr>
          <w:p w14:paraId="694BBF54" w14:textId="77777777" w:rsidR="00020B18" w:rsidRDefault="00020B18" w:rsidP="0048655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7153FCB" wp14:editId="1CD2EAC8">
                  <wp:extent cx="4456162" cy="2934586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827" cy="297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ED368" w14:textId="0DF45DBF" w:rsidR="00020B18" w:rsidRPr="00E978C2" w:rsidRDefault="00020B18" w:rsidP="0048655A">
            <w:pPr>
              <w:rPr>
                <w:rFonts w:ascii="Arial" w:hAnsi="Arial" w:cs="Arial"/>
              </w:rPr>
            </w:pPr>
            <w:proofErr w:type="spellStart"/>
            <w:r w:rsidRPr="009F4BC6">
              <w:rPr>
                <w:rFonts w:ascii="Arial" w:hAnsi="Arial" w:cs="Arial"/>
              </w:rPr>
              <w:t>doi</w:t>
            </w:r>
            <w:proofErr w:type="spellEnd"/>
            <w:r w:rsidRPr="009F4BC6">
              <w:rPr>
                <w:rFonts w:ascii="Arial" w:hAnsi="Arial" w:cs="Arial"/>
              </w:rPr>
              <w:t xml:space="preserve">: </w:t>
            </w:r>
            <w:r>
              <w:t xml:space="preserve"> </w:t>
            </w:r>
            <w:r w:rsidRPr="00F01B78">
              <w:rPr>
                <w:rFonts w:ascii="Arial" w:hAnsi="Arial" w:cs="Arial"/>
              </w:rPr>
              <w:t>10.1056/CAT.21.0417</w:t>
            </w:r>
          </w:p>
        </w:tc>
      </w:tr>
      <w:tr w:rsidR="00020B18" w:rsidRPr="009F4BC6" w14:paraId="2D499874" w14:textId="77777777" w:rsidTr="00020B18">
        <w:trPr>
          <w:trHeight w:val="552"/>
        </w:trPr>
        <w:tc>
          <w:tcPr>
            <w:tcW w:w="2051" w:type="dxa"/>
            <w:tcBorders>
              <w:top w:val="nil"/>
            </w:tcBorders>
          </w:tcPr>
          <w:p w14:paraId="45153354" w14:textId="77777777" w:rsidR="00020B18" w:rsidRPr="009F4BC6" w:rsidRDefault="00020B18" w:rsidP="0048655A">
            <w:pPr>
              <w:rPr>
                <w:rFonts w:ascii="Arial" w:hAnsi="Arial" w:cs="Arial"/>
              </w:rPr>
            </w:pPr>
          </w:p>
        </w:tc>
        <w:tc>
          <w:tcPr>
            <w:tcW w:w="8654" w:type="dxa"/>
          </w:tcPr>
          <w:p w14:paraId="72A9CBEE" w14:textId="77777777" w:rsidR="00020B18" w:rsidRDefault="00020B18" w:rsidP="00020B1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B53BB1D" wp14:editId="0F06C9E6">
                  <wp:extent cx="3402419" cy="4211704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436" cy="426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F04D7" w14:textId="77016384" w:rsidR="00020B18" w:rsidRPr="00E978C2" w:rsidRDefault="00020B18" w:rsidP="0002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Iturralde, Fazzolari, et al., </w:t>
            </w:r>
            <w:r w:rsidRPr="00F01B78">
              <w:rPr>
                <w:rFonts w:ascii="Arial" w:hAnsi="Arial" w:cs="Arial"/>
                <w:i/>
                <w:iCs/>
              </w:rPr>
              <w:t>under review</w:t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16B"/>
    <w:multiLevelType w:val="hybridMultilevel"/>
    <w:tmpl w:val="6C76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0FD2"/>
    <w:multiLevelType w:val="hybridMultilevel"/>
    <w:tmpl w:val="83EA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6237A"/>
    <w:multiLevelType w:val="hybridMultilevel"/>
    <w:tmpl w:val="93709702"/>
    <w:lvl w:ilvl="0" w:tplc="BD0C23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021C"/>
    <w:multiLevelType w:val="hybridMultilevel"/>
    <w:tmpl w:val="50E26050"/>
    <w:lvl w:ilvl="0" w:tplc="9F286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7D0BEF"/>
    <w:multiLevelType w:val="hybridMultilevel"/>
    <w:tmpl w:val="1F64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55843"/>
    <w:multiLevelType w:val="hybridMultilevel"/>
    <w:tmpl w:val="101A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4944A2"/>
    <w:multiLevelType w:val="hybridMultilevel"/>
    <w:tmpl w:val="8826AD66"/>
    <w:lvl w:ilvl="0" w:tplc="5FD87CC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D709D"/>
    <w:multiLevelType w:val="hybridMultilevel"/>
    <w:tmpl w:val="FB22CF66"/>
    <w:lvl w:ilvl="0" w:tplc="2F2E5DB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6488248">
    <w:abstractNumId w:val="4"/>
  </w:num>
  <w:num w:numId="2" w16cid:durableId="1587108881">
    <w:abstractNumId w:val="0"/>
  </w:num>
  <w:num w:numId="3" w16cid:durableId="1794473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4099565">
    <w:abstractNumId w:val="3"/>
  </w:num>
  <w:num w:numId="5" w16cid:durableId="1913468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450484">
    <w:abstractNumId w:val="2"/>
  </w:num>
  <w:num w:numId="7" w16cid:durableId="308559823">
    <w:abstractNumId w:val="7"/>
  </w:num>
  <w:num w:numId="8" w16cid:durableId="2105029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20B18"/>
    <w:rsid w:val="000456B7"/>
    <w:rsid w:val="000811DB"/>
    <w:rsid w:val="000A33FB"/>
    <w:rsid w:val="000B0B25"/>
    <w:rsid w:val="000B15EE"/>
    <w:rsid w:val="001475BB"/>
    <w:rsid w:val="00157818"/>
    <w:rsid w:val="001A5A8A"/>
    <w:rsid w:val="001D52BB"/>
    <w:rsid w:val="001E348B"/>
    <w:rsid w:val="00240935"/>
    <w:rsid w:val="00245565"/>
    <w:rsid w:val="002A1A00"/>
    <w:rsid w:val="002C4B82"/>
    <w:rsid w:val="0031051B"/>
    <w:rsid w:val="00326569"/>
    <w:rsid w:val="003365DE"/>
    <w:rsid w:val="00343DA6"/>
    <w:rsid w:val="00366089"/>
    <w:rsid w:val="003D755D"/>
    <w:rsid w:val="003E27D1"/>
    <w:rsid w:val="003E34C5"/>
    <w:rsid w:val="00473A4B"/>
    <w:rsid w:val="0048655A"/>
    <w:rsid w:val="0049294B"/>
    <w:rsid w:val="00514319"/>
    <w:rsid w:val="00591867"/>
    <w:rsid w:val="006146D4"/>
    <w:rsid w:val="006D32D2"/>
    <w:rsid w:val="0072563B"/>
    <w:rsid w:val="0075325A"/>
    <w:rsid w:val="00777238"/>
    <w:rsid w:val="007A2D04"/>
    <w:rsid w:val="007C3984"/>
    <w:rsid w:val="00803E17"/>
    <w:rsid w:val="008046A3"/>
    <w:rsid w:val="008131C8"/>
    <w:rsid w:val="00871F97"/>
    <w:rsid w:val="008A7C90"/>
    <w:rsid w:val="008E6D2C"/>
    <w:rsid w:val="009001F2"/>
    <w:rsid w:val="00915638"/>
    <w:rsid w:val="00933309"/>
    <w:rsid w:val="00946C9B"/>
    <w:rsid w:val="009844E3"/>
    <w:rsid w:val="00994BC8"/>
    <w:rsid w:val="0099649C"/>
    <w:rsid w:val="009A0899"/>
    <w:rsid w:val="009C0C0B"/>
    <w:rsid w:val="009F4BC6"/>
    <w:rsid w:val="00A16BB1"/>
    <w:rsid w:val="00A8713E"/>
    <w:rsid w:val="00B36822"/>
    <w:rsid w:val="00B61C3A"/>
    <w:rsid w:val="00B82A6E"/>
    <w:rsid w:val="00B93904"/>
    <w:rsid w:val="00BA2786"/>
    <w:rsid w:val="00C3487D"/>
    <w:rsid w:val="00C4025A"/>
    <w:rsid w:val="00C73A94"/>
    <w:rsid w:val="00CA3D41"/>
    <w:rsid w:val="00CB0455"/>
    <w:rsid w:val="00CF4301"/>
    <w:rsid w:val="00CF5767"/>
    <w:rsid w:val="00D003F1"/>
    <w:rsid w:val="00D15859"/>
    <w:rsid w:val="00D24534"/>
    <w:rsid w:val="00D463DB"/>
    <w:rsid w:val="00D61334"/>
    <w:rsid w:val="00DF00C7"/>
    <w:rsid w:val="00DF4D17"/>
    <w:rsid w:val="00E11B2E"/>
    <w:rsid w:val="00E36435"/>
    <w:rsid w:val="00E47BF7"/>
    <w:rsid w:val="00E8740F"/>
    <w:rsid w:val="00E978C2"/>
    <w:rsid w:val="00EB0401"/>
    <w:rsid w:val="00EC131C"/>
    <w:rsid w:val="00EC1975"/>
    <w:rsid w:val="00EC4275"/>
    <w:rsid w:val="00EF635D"/>
    <w:rsid w:val="00EF6EE1"/>
    <w:rsid w:val="00F01B78"/>
    <w:rsid w:val="00F91EB4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F9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0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8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12CF887CC049AE0A16A900E750E9" ma:contentTypeVersion="16" ma:contentTypeDescription="Create a new document." ma:contentTypeScope="" ma:versionID="e7820897ed7d53f990ce26ff01c613e4">
  <xsd:schema xmlns:xsd="http://www.w3.org/2001/XMLSchema" xmlns:xs="http://www.w3.org/2001/XMLSchema" xmlns:p="http://schemas.microsoft.com/office/2006/metadata/properties" xmlns:ns2="04c69e7e-30dd-4fc4-b8bc-afeef48eb057" xmlns:ns3="537647ec-f617-4999-8032-1f453e4c2fb5" targetNamespace="http://schemas.microsoft.com/office/2006/metadata/properties" ma:root="true" ma:fieldsID="f03f827e0e1195eccbc7c3aeef81d122" ns2:_="" ns3:_="">
    <xsd:import namespace="04c69e7e-30dd-4fc4-b8bc-afeef48eb057"/>
    <xsd:import namespace="537647ec-f617-4999-8032-1f453e4c2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9e7e-30dd-4fc4-b8bc-afeef48e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47ec-f617-4999-8032-1f453e4c2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ff0bba-50f5-4c0b-b1c3-5fd5d8475422}" ma:internalName="TaxCatchAll" ma:showField="CatchAllData" ma:web="537647ec-f617-4999-8032-1f453e4c2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647ec-f617-4999-8032-1f453e4c2fb5" xsi:nil="true"/>
    <lcf76f155ced4ddcb4097134ff3c332f xmlns="04c69e7e-30dd-4fc4-b8bc-afeef48eb0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EC58B-20AD-4F95-8173-9DFD18B7D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9e7e-30dd-4fc4-b8bc-afeef48eb057"/>
    <ds:schemaRef ds:uri="537647ec-f617-4999-8032-1f453e4c2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88A28-5B10-48BE-B8D6-480C75C53C84}">
  <ds:schemaRefs>
    <ds:schemaRef ds:uri="http://schemas.microsoft.com/office/2006/documentManagement/types"/>
    <ds:schemaRef ds:uri="http://www.w3.org/XML/1998/namespace"/>
    <ds:schemaRef ds:uri="http://purl.org/dc/elements/1.1/"/>
    <ds:schemaRef ds:uri="04c69e7e-30dd-4fc4-b8bc-afeef48eb057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537647ec-f617-4999-8032-1f453e4c2fb5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Natalie Au</cp:lastModifiedBy>
  <cp:revision>4</cp:revision>
  <dcterms:created xsi:type="dcterms:W3CDTF">2025-02-20T19:35:00Z</dcterms:created>
  <dcterms:modified xsi:type="dcterms:W3CDTF">2025-02-20T20:48:00Z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0x0101005E2212CF887CC049AE0A16A900E750E9</vt:lpwstr>
  </property>
  <property fmtid="{D5CDD505-2E9C-101B-9397-08002B2CF9AE}" pid="3" name="MediaServiceImageTags">
    <vt:lpwstr/>
  </property>
</Properties>
</file>