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2710" w14:textId="34288B68" w:rsidR="00CD4923" w:rsidRPr="00E6265B" w:rsidRDefault="00245565" w:rsidP="00CD4923">
      <w:pPr>
        <w:rPr>
          <w:rFonts w:cstheme="minorHAnsi"/>
          <w:b/>
          <w:bCs/>
          <w:sz w:val="12"/>
          <w:szCs w:val="12"/>
        </w:rPr>
      </w:pPr>
      <w:r w:rsidRPr="00CD4923">
        <w:rPr>
          <w:rFonts w:ascii="Calibri" w:eastAsia="Calibri" w:hAnsi="Calibri" w:cs="Calibri"/>
          <w:color w:val="4472C4" w:themeColor="accent1"/>
          <w:sz w:val="20"/>
          <w:szCs w:val="20"/>
        </w:rPr>
        <w:t>Delivery Science Grants Program</w:t>
      </w:r>
      <w:r w:rsidR="00CD4923" w:rsidRPr="00CD4923">
        <w:rPr>
          <w:rFonts w:cstheme="minorHAnsi"/>
          <w:b/>
          <w:bCs/>
          <w:sz w:val="16"/>
          <w:szCs w:val="16"/>
        </w:rPr>
        <w:t xml:space="preserve"> </w:t>
      </w:r>
      <w:r w:rsidR="00CD4923"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6265B" w:rsidRPr="00E6265B">
        <w:rPr>
          <w:rFonts w:cstheme="minorHAnsi"/>
          <w:sz w:val="18"/>
          <w:szCs w:val="18"/>
        </w:rPr>
        <w:t>A</w:t>
      </w:r>
      <w:r w:rsidR="00CD4923" w:rsidRPr="00E6265B">
        <w:rPr>
          <w:rFonts w:cstheme="minorHAnsi"/>
          <w:sz w:val="18"/>
          <w:szCs w:val="18"/>
        </w:rPr>
        <w:t xml:space="preserve"> comparison of outreach approaches to de-implement outdated colonoscopy surveillance recommendations among patients with low-risk </w:t>
      </w:r>
      <w:r w:rsidR="00CD4923" w:rsidRPr="00E6265B">
        <w:rPr>
          <w:rFonts w:cstheme="minorHAnsi"/>
          <w:sz w:val="18"/>
          <w:szCs w:val="18"/>
        </w:rPr>
        <w:t>adenomas</w:t>
      </w:r>
      <w:r w:rsidR="00CD4923" w:rsidRPr="00E6265B">
        <w:rPr>
          <w:rFonts w:cstheme="minorHAnsi"/>
          <w:b/>
          <w:bCs/>
          <w:sz w:val="14"/>
          <w:szCs w:val="14"/>
        </w:rPr>
        <w:t xml:space="preserve"> </w:t>
      </w:r>
      <w:r w:rsidR="00E6265B" w:rsidRPr="00E6265B">
        <w:rPr>
          <w:rFonts w:cstheme="minorHAnsi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265B" w:rsidRPr="00E6265B">
        <w:rPr>
          <w:rFonts w:cstheme="minorHAnsi"/>
          <w:b/>
          <w:bCs/>
          <w:sz w:val="12"/>
          <w:szCs w:val="12"/>
        </w:rPr>
        <w:t>Jeffrey K. Lee, MD, MPH;</w:t>
      </w:r>
      <w:r w:rsidR="00E6265B" w:rsidRPr="00E6265B">
        <w:rPr>
          <w:rFonts w:cstheme="minorHAnsi"/>
          <w:b/>
          <w:bCs/>
          <w:sz w:val="12"/>
          <w:szCs w:val="12"/>
          <w:vertAlign w:val="superscript"/>
        </w:rPr>
        <w:t>1,2*</w:t>
      </w:r>
      <w:r w:rsidR="00E6265B" w:rsidRPr="00E6265B">
        <w:rPr>
          <w:rFonts w:cstheme="minorHAnsi"/>
          <w:b/>
          <w:bCs/>
          <w:sz w:val="12"/>
          <w:szCs w:val="12"/>
        </w:rPr>
        <w:t xml:space="preserve"> </w:t>
      </w:r>
      <w:r w:rsidR="00E6265B" w:rsidRPr="00E6265B">
        <w:rPr>
          <w:rFonts w:cstheme="minorHAnsi"/>
          <w:sz w:val="12"/>
          <w:szCs w:val="12"/>
        </w:rPr>
        <w:t xml:space="preserve">Pradeep C. </w:t>
      </w:r>
      <w:proofErr w:type="spellStart"/>
      <w:r w:rsidR="00E6265B" w:rsidRPr="00E6265B">
        <w:rPr>
          <w:rFonts w:cstheme="minorHAnsi"/>
          <w:sz w:val="12"/>
          <w:szCs w:val="12"/>
        </w:rPr>
        <w:t>Koripella</w:t>
      </w:r>
      <w:proofErr w:type="spellEnd"/>
      <w:r w:rsidR="00E6265B" w:rsidRPr="00E6265B">
        <w:rPr>
          <w:rFonts w:cstheme="minorHAnsi"/>
          <w:sz w:val="12"/>
          <w:szCs w:val="12"/>
        </w:rPr>
        <w:t>, MD;</w:t>
      </w:r>
      <w:r w:rsidR="00E6265B" w:rsidRPr="00E6265B">
        <w:rPr>
          <w:rFonts w:cstheme="minorHAnsi"/>
          <w:sz w:val="12"/>
          <w:szCs w:val="12"/>
          <w:vertAlign w:val="superscript"/>
        </w:rPr>
        <w:t>2*</w:t>
      </w:r>
      <w:r w:rsidR="00E6265B" w:rsidRPr="00E6265B">
        <w:rPr>
          <w:rFonts w:cstheme="minorHAnsi"/>
          <w:sz w:val="12"/>
          <w:szCs w:val="12"/>
        </w:rPr>
        <w:t xml:space="preserve"> Christopher D. Jensen, PhD, MPH;</w:t>
      </w:r>
      <w:r w:rsidR="00E6265B" w:rsidRPr="00E6265B">
        <w:rPr>
          <w:rFonts w:cstheme="minorHAnsi"/>
          <w:sz w:val="12"/>
          <w:szCs w:val="12"/>
          <w:vertAlign w:val="superscript"/>
        </w:rPr>
        <w:t>1</w:t>
      </w:r>
      <w:r w:rsidR="00E6265B" w:rsidRPr="00E6265B">
        <w:rPr>
          <w:rFonts w:cstheme="minorHAnsi"/>
          <w:sz w:val="12"/>
          <w:szCs w:val="12"/>
        </w:rPr>
        <w:t xml:space="preserve"> Sophie A. Merchant, MPH;</w:t>
      </w:r>
      <w:r w:rsidR="00E6265B" w:rsidRPr="00E6265B">
        <w:rPr>
          <w:rFonts w:cstheme="minorHAnsi"/>
          <w:sz w:val="12"/>
          <w:szCs w:val="12"/>
          <w:vertAlign w:val="superscript"/>
        </w:rPr>
        <w:t>1</w:t>
      </w:r>
      <w:r w:rsidR="00E6265B" w:rsidRPr="00E6265B">
        <w:rPr>
          <w:rFonts w:cstheme="minorHAnsi"/>
          <w:sz w:val="12"/>
          <w:szCs w:val="12"/>
        </w:rPr>
        <w:t xml:space="preserve"> Jeffrey M. Fox, MD, MPH;</w:t>
      </w:r>
      <w:r w:rsidR="00E6265B" w:rsidRPr="00E6265B">
        <w:rPr>
          <w:rFonts w:cstheme="minorHAnsi"/>
          <w:sz w:val="12"/>
          <w:szCs w:val="12"/>
          <w:vertAlign w:val="superscript"/>
        </w:rPr>
        <w:t>3</w:t>
      </w:r>
      <w:r w:rsidR="00E6265B" w:rsidRPr="00E6265B">
        <w:rPr>
          <w:rFonts w:cstheme="minorHAnsi"/>
          <w:sz w:val="12"/>
          <w:szCs w:val="12"/>
        </w:rPr>
        <w:t xml:space="preserve"> </w:t>
      </w:r>
      <w:proofErr w:type="spellStart"/>
      <w:r w:rsidR="00E6265B" w:rsidRPr="00E6265B">
        <w:rPr>
          <w:rFonts w:cstheme="minorHAnsi"/>
          <w:sz w:val="12"/>
          <w:szCs w:val="12"/>
        </w:rPr>
        <w:t>Suyi</w:t>
      </w:r>
      <w:proofErr w:type="spellEnd"/>
      <w:r w:rsidR="00E6265B" w:rsidRPr="00E6265B">
        <w:rPr>
          <w:rFonts w:cstheme="minorHAnsi"/>
          <w:sz w:val="12"/>
          <w:szCs w:val="12"/>
        </w:rPr>
        <w:t xml:space="preserve"> X. Chang, MD;</w:t>
      </w:r>
      <w:r w:rsidR="00E6265B" w:rsidRPr="00E6265B">
        <w:rPr>
          <w:rFonts w:cstheme="minorHAnsi"/>
          <w:sz w:val="12"/>
          <w:szCs w:val="12"/>
          <w:vertAlign w:val="superscript"/>
        </w:rPr>
        <w:t>4</w:t>
      </w:r>
      <w:r w:rsidR="00E6265B" w:rsidRPr="00E6265B">
        <w:rPr>
          <w:rFonts w:cstheme="minorHAnsi"/>
          <w:sz w:val="12"/>
          <w:szCs w:val="12"/>
        </w:rPr>
        <w:t xml:space="preserve"> Christian H. Dang, MD;</w:t>
      </w:r>
      <w:r w:rsidR="00E6265B" w:rsidRPr="00E6265B">
        <w:rPr>
          <w:rFonts w:cstheme="minorHAnsi"/>
          <w:sz w:val="12"/>
          <w:szCs w:val="12"/>
          <w:vertAlign w:val="superscript"/>
        </w:rPr>
        <w:t>5</w:t>
      </w:r>
      <w:r w:rsidR="00E6265B" w:rsidRPr="00E6265B">
        <w:rPr>
          <w:rFonts w:cstheme="minorHAnsi"/>
          <w:sz w:val="12"/>
          <w:szCs w:val="12"/>
        </w:rPr>
        <w:t xml:space="preserve"> Fernando S. Velayos, MD, MPH;</w:t>
      </w:r>
      <w:r w:rsidR="00E6265B" w:rsidRPr="00E6265B">
        <w:rPr>
          <w:rFonts w:cstheme="minorHAnsi"/>
          <w:sz w:val="12"/>
          <w:szCs w:val="12"/>
          <w:vertAlign w:val="superscript"/>
        </w:rPr>
        <w:t>2</w:t>
      </w:r>
      <w:r w:rsidR="00E6265B" w:rsidRPr="00E6265B">
        <w:rPr>
          <w:rFonts w:cstheme="minorHAnsi"/>
          <w:sz w:val="12"/>
          <w:szCs w:val="12"/>
        </w:rPr>
        <w:t xml:space="preserve"> </w:t>
      </w:r>
      <w:proofErr w:type="spellStart"/>
      <w:r w:rsidR="00E6265B" w:rsidRPr="00E6265B">
        <w:rPr>
          <w:rFonts w:cstheme="minorHAnsi"/>
          <w:sz w:val="12"/>
          <w:szCs w:val="12"/>
        </w:rPr>
        <w:t>Eshandeep</w:t>
      </w:r>
      <w:proofErr w:type="spellEnd"/>
      <w:r w:rsidR="00E6265B" w:rsidRPr="00E6265B">
        <w:rPr>
          <w:rFonts w:cstheme="minorHAnsi"/>
          <w:sz w:val="12"/>
          <w:szCs w:val="12"/>
        </w:rPr>
        <w:t xml:space="preserve"> S. Boparai, MD;</w:t>
      </w:r>
      <w:r w:rsidR="00E6265B" w:rsidRPr="00E6265B">
        <w:rPr>
          <w:rFonts w:cstheme="minorHAnsi"/>
          <w:sz w:val="12"/>
          <w:szCs w:val="12"/>
          <w:vertAlign w:val="superscript"/>
        </w:rPr>
        <w:t>4</w:t>
      </w:r>
      <w:r w:rsidR="00E6265B" w:rsidRPr="00E6265B">
        <w:rPr>
          <w:rFonts w:cstheme="minorHAnsi"/>
          <w:sz w:val="12"/>
          <w:szCs w:val="12"/>
        </w:rPr>
        <w:t xml:space="preserve"> Nicole S. Evans, MD;</w:t>
      </w:r>
      <w:r w:rsidR="00E6265B" w:rsidRPr="00E6265B">
        <w:rPr>
          <w:rFonts w:cstheme="minorHAnsi"/>
          <w:sz w:val="12"/>
          <w:szCs w:val="12"/>
          <w:vertAlign w:val="superscript"/>
        </w:rPr>
        <w:t>2</w:t>
      </w:r>
      <w:r w:rsidR="00E6265B" w:rsidRPr="00E6265B">
        <w:rPr>
          <w:rFonts w:cstheme="minorHAnsi"/>
          <w:sz w:val="12"/>
          <w:szCs w:val="12"/>
        </w:rPr>
        <w:t xml:space="preserve"> Lawrence J. Leung, MD,</w:t>
      </w:r>
      <w:r w:rsidR="00E6265B" w:rsidRPr="00E6265B">
        <w:rPr>
          <w:rFonts w:cstheme="minorHAnsi"/>
          <w:sz w:val="12"/>
          <w:szCs w:val="12"/>
          <w:vertAlign w:val="superscript"/>
        </w:rPr>
        <w:t>2</w:t>
      </w:r>
      <w:r w:rsidR="00E6265B" w:rsidRPr="00E6265B">
        <w:rPr>
          <w:rFonts w:cstheme="minorHAnsi"/>
          <w:sz w:val="12"/>
          <w:szCs w:val="12"/>
        </w:rPr>
        <w:t xml:space="preserve"> MPH; Jessica M. Badalov, MS, RD;</w:t>
      </w:r>
      <w:r w:rsidR="00E6265B" w:rsidRPr="00E6265B">
        <w:rPr>
          <w:rFonts w:cstheme="minorHAnsi"/>
          <w:sz w:val="12"/>
          <w:szCs w:val="12"/>
          <w:vertAlign w:val="superscript"/>
        </w:rPr>
        <w:t>1</w:t>
      </w:r>
      <w:r w:rsidR="00E6265B" w:rsidRPr="00E6265B">
        <w:rPr>
          <w:rFonts w:cstheme="minorHAnsi"/>
          <w:sz w:val="12"/>
          <w:szCs w:val="12"/>
        </w:rPr>
        <w:t xml:space="preserve"> Charles P. Quesenberry, PhD;</w:t>
      </w:r>
      <w:r w:rsidR="00E6265B" w:rsidRPr="00E6265B">
        <w:rPr>
          <w:rFonts w:cstheme="minorHAnsi"/>
          <w:sz w:val="12"/>
          <w:szCs w:val="12"/>
          <w:vertAlign w:val="superscript"/>
        </w:rPr>
        <w:t>1</w:t>
      </w:r>
      <w:r w:rsidR="00E6265B" w:rsidRPr="00E6265B">
        <w:rPr>
          <w:rFonts w:cstheme="minorHAnsi"/>
          <w:sz w:val="12"/>
          <w:szCs w:val="12"/>
        </w:rPr>
        <w:t xml:space="preserve"> Douglas A. Corley, MD, PhD;</w:t>
      </w:r>
      <w:r w:rsidR="00E6265B" w:rsidRPr="00E6265B">
        <w:rPr>
          <w:rFonts w:cstheme="minorHAnsi"/>
          <w:sz w:val="12"/>
          <w:szCs w:val="12"/>
          <w:vertAlign w:val="superscript"/>
        </w:rPr>
        <w:t>1,2</w:t>
      </w:r>
      <w:r w:rsidR="00E6265B" w:rsidRPr="00E6265B">
        <w:rPr>
          <w:rFonts w:cstheme="minorHAnsi"/>
          <w:sz w:val="12"/>
          <w:szCs w:val="12"/>
        </w:rPr>
        <w:t xml:space="preserve"> Theodore R. Levin, MD.</w:t>
      </w:r>
      <w:r w:rsidR="00E6265B" w:rsidRPr="00E6265B">
        <w:rPr>
          <w:rFonts w:cstheme="minorHAnsi"/>
          <w:sz w:val="12"/>
          <w:szCs w:val="12"/>
          <w:vertAlign w:val="superscript"/>
        </w:rPr>
        <w:t>1,4</w:t>
      </w:r>
    </w:p>
    <w:tbl>
      <w:tblPr>
        <w:tblStyle w:val="TableGrid"/>
        <w:tblpPr w:leftFromText="180" w:rightFromText="180" w:vertAnchor="page" w:horzAnchor="margin" w:tblpY="1979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CD4923" w:rsidRPr="008E6D2C" w14:paraId="5BDE5277" w14:textId="77777777" w:rsidTr="00CD4923">
        <w:trPr>
          <w:trHeight w:val="816"/>
        </w:trPr>
        <w:tc>
          <w:tcPr>
            <w:tcW w:w="1975" w:type="dxa"/>
          </w:tcPr>
          <w:p w14:paraId="3B60F67C" w14:textId="77777777" w:rsidR="00CD4923" w:rsidRPr="008E6D2C" w:rsidRDefault="00CD4923" w:rsidP="00CD4923">
            <w:pPr>
              <w:spacing w:line="259" w:lineRule="auto"/>
            </w:pPr>
            <w:bookmarkStart w:id="0" w:name="_Hlk54105970"/>
            <w:r w:rsidRPr="008E6D2C">
              <w:t>Challenge</w:t>
            </w:r>
          </w:p>
        </w:tc>
        <w:tc>
          <w:tcPr>
            <w:tcW w:w="8730" w:type="dxa"/>
          </w:tcPr>
          <w:p w14:paraId="11DCBA28" w14:textId="77777777" w:rsidR="00CD4923" w:rsidRPr="008E6D2C" w:rsidRDefault="00CD4923" w:rsidP="00CD4923">
            <w:pPr>
              <w:spacing w:line="259" w:lineRule="auto"/>
              <w:rPr>
                <w:b/>
                <w:bCs/>
              </w:rPr>
            </w:pPr>
            <w:r>
              <w:rPr>
                <w:rFonts w:cstheme="minorHAnsi"/>
              </w:rPr>
              <w:t>G</w:t>
            </w:r>
            <w:r w:rsidRPr="00DA49B6">
              <w:rPr>
                <w:rFonts w:cstheme="minorHAnsi"/>
              </w:rPr>
              <w:t xml:space="preserve">uidelines now recommend patients with low-risk adenomas receive </w:t>
            </w:r>
            <w:r>
              <w:rPr>
                <w:rFonts w:cstheme="minorHAnsi"/>
              </w:rPr>
              <w:t>colonoscopy surveillance</w:t>
            </w:r>
            <w:r w:rsidRPr="00DA49B6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7-</w:t>
            </w:r>
            <w:r w:rsidRPr="00DA49B6">
              <w:rPr>
                <w:rFonts w:cstheme="minorHAnsi"/>
              </w:rPr>
              <w:t>10 years rather than 5</w:t>
            </w:r>
            <w:r>
              <w:rPr>
                <w:rFonts w:cstheme="minorHAnsi"/>
              </w:rPr>
              <w:t>-10</w:t>
            </w:r>
            <w:r w:rsidRPr="00DA49B6">
              <w:rPr>
                <w:rFonts w:cstheme="minorHAnsi"/>
              </w:rPr>
              <w:t xml:space="preserve">, and that low-risk patients with </w:t>
            </w:r>
            <w:r>
              <w:rPr>
                <w:rFonts w:cstheme="minorHAnsi"/>
              </w:rPr>
              <w:t xml:space="preserve">a </w:t>
            </w:r>
            <w:r w:rsidRPr="00DA49B6">
              <w:rPr>
                <w:rFonts w:cstheme="minorHAnsi"/>
              </w:rPr>
              <w:t>5-year surveillance interval</w:t>
            </w:r>
            <w:r>
              <w:rPr>
                <w:rFonts w:cstheme="minorHAnsi"/>
              </w:rPr>
              <w:t xml:space="preserve"> be reevaluated </w:t>
            </w:r>
            <w:r w:rsidRPr="00DA49B6">
              <w:rPr>
                <w:rFonts w:cstheme="minorHAnsi"/>
              </w:rPr>
              <w:t xml:space="preserve">to provide an updated </w:t>
            </w:r>
            <w:r>
              <w:rPr>
                <w:rFonts w:cstheme="minorHAnsi"/>
              </w:rPr>
              <w:t xml:space="preserve">surveillance interval </w:t>
            </w:r>
            <w:r w:rsidRPr="00DA49B6">
              <w:rPr>
                <w:rFonts w:cstheme="minorHAnsi"/>
              </w:rPr>
              <w:t>recommendation.</w:t>
            </w:r>
            <w:r>
              <w:rPr>
                <w:rFonts w:cstheme="minorHAnsi"/>
              </w:rPr>
              <w:t xml:space="preserve"> A</w:t>
            </w:r>
            <w:r w:rsidRPr="00DA49B6">
              <w:rPr>
                <w:rFonts w:cstheme="minorHAnsi"/>
              </w:rPr>
              <w:t xml:space="preserve"> challenge to healthcare systems is how to effectively de-implement outdated surveillance recommendations </w:t>
            </w:r>
            <w:r>
              <w:rPr>
                <w:rFonts w:cstheme="minorHAnsi"/>
              </w:rPr>
              <w:t xml:space="preserve">and transition patients to </w:t>
            </w:r>
            <w:r w:rsidRPr="00DA49B6">
              <w:rPr>
                <w:rFonts w:cstheme="minorHAnsi"/>
              </w:rPr>
              <w:t>the 10-year interval.</w:t>
            </w:r>
          </w:p>
        </w:tc>
      </w:tr>
      <w:tr w:rsidR="00CD4923" w:rsidRPr="008E6D2C" w14:paraId="68D496EC" w14:textId="77777777" w:rsidTr="00CD4923">
        <w:trPr>
          <w:trHeight w:val="1091"/>
        </w:trPr>
        <w:tc>
          <w:tcPr>
            <w:tcW w:w="1975" w:type="dxa"/>
          </w:tcPr>
          <w:p w14:paraId="7B0E996F" w14:textId="77777777" w:rsidR="00CD4923" w:rsidRPr="008E6D2C" w:rsidRDefault="00CD4923" w:rsidP="00CD4923">
            <w:pPr>
              <w:spacing w:line="259" w:lineRule="auto"/>
            </w:pPr>
            <w:r w:rsidRPr="008E6D2C">
              <w:t>Existing Evidence</w:t>
            </w:r>
          </w:p>
        </w:tc>
        <w:tc>
          <w:tcPr>
            <w:tcW w:w="8730" w:type="dxa"/>
          </w:tcPr>
          <w:p w14:paraId="7A214157" w14:textId="77777777" w:rsidR="00CD4923" w:rsidRPr="008E6D2C" w:rsidRDefault="00CD4923" w:rsidP="00CD4923">
            <w:pPr>
              <w:pStyle w:val="HTMLPreformatted"/>
              <w:contextualSpacing/>
              <w:jc w:val="both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05B73">
              <w:rPr>
                <w:rFonts w:asciiTheme="minorHAnsi" w:hAnsiTheme="minorHAnsi" w:cstheme="minorHAnsi"/>
                <w:sz w:val="22"/>
                <w:szCs w:val="22"/>
              </w:rPr>
              <w:t xml:space="preserve">he effectiveness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implemented</w:t>
            </w:r>
            <w:r w:rsidRPr="00305B73">
              <w:rPr>
                <w:rFonts w:asciiTheme="minorHAnsi" w:hAnsiTheme="minorHAnsi" w:cstheme="minorHAnsi"/>
                <w:sz w:val="22"/>
                <w:szCs w:val="22"/>
              </w:rPr>
              <w:t xml:space="preserve"> outreach methods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5B73">
              <w:rPr>
                <w:rFonts w:asciiTheme="minorHAnsi" w:hAnsiTheme="minorHAnsi" w:cstheme="minorHAnsi"/>
                <w:sz w:val="22"/>
                <w:szCs w:val="22"/>
              </w:rPr>
              <w:t>mailed letter, secure messaging, telephone call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305B73">
              <w:rPr>
                <w:rFonts w:asciiTheme="minorHAnsi" w:hAnsiTheme="minorHAnsi" w:cstheme="minorHAnsi"/>
                <w:sz w:val="22"/>
                <w:szCs w:val="22"/>
              </w:rPr>
              <w:t xml:space="preserve">for informing patients about new guideline recommendations, particularly related to extending surveillance intervals, is unknown. </w:t>
            </w:r>
          </w:p>
        </w:tc>
      </w:tr>
      <w:tr w:rsidR="00CD4923" w:rsidRPr="008E6D2C" w14:paraId="7487BCAB" w14:textId="77777777" w:rsidTr="00CD4923">
        <w:trPr>
          <w:trHeight w:val="262"/>
        </w:trPr>
        <w:tc>
          <w:tcPr>
            <w:tcW w:w="1975" w:type="dxa"/>
          </w:tcPr>
          <w:p w14:paraId="3EAEC05D" w14:textId="77777777" w:rsidR="00CD4923" w:rsidRPr="008E6D2C" w:rsidRDefault="00CD4923" w:rsidP="00CD4923">
            <w:pPr>
              <w:spacing w:line="259" w:lineRule="auto"/>
            </w:pPr>
            <w:r w:rsidRPr="008E6D2C">
              <w:t>Target Population</w:t>
            </w:r>
          </w:p>
        </w:tc>
        <w:tc>
          <w:tcPr>
            <w:tcW w:w="8730" w:type="dxa"/>
          </w:tcPr>
          <w:p w14:paraId="51168773" w14:textId="77777777" w:rsidR="00CD4923" w:rsidRPr="00696C4A" w:rsidRDefault="00CD4923" w:rsidP="00CD4923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305B73">
              <w:rPr>
                <w:rFonts w:cstheme="minorHAnsi"/>
              </w:rPr>
              <w:t xml:space="preserve">dults 54-70 years of age </w:t>
            </w:r>
            <w:r>
              <w:rPr>
                <w:rFonts w:cstheme="minorHAnsi"/>
              </w:rPr>
              <w:t xml:space="preserve">(from San Rafael, San Francisco, San Leandro, Oakland, and Walnut Creek medical centers) </w:t>
            </w:r>
            <w:r w:rsidRPr="00305B73">
              <w:rPr>
                <w:rFonts w:cstheme="minorHAnsi"/>
              </w:rPr>
              <w:t xml:space="preserve">who underwent a baseline colonoscopy </w:t>
            </w:r>
            <w:r>
              <w:rPr>
                <w:rFonts w:cstheme="minorHAnsi"/>
              </w:rPr>
              <w:t xml:space="preserve">in 2017-1018 </w:t>
            </w:r>
            <w:r w:rsidRPr="00305B73">
              <w:rPr>
                <w:rFonts w:cstheme="minorHAnsi"/>
              </w:rPr>
              <w:t xml:space="preserve">with 1-2 small </w:t>
            </w:r>
            <w:r>
              <w:rPr>
                <w:rFonts w:cstheme="minorHAnsi"/>
              </w:rPr>
              <w:t xml:space="preserve">(i.e., &lt;10 mm in size) </w:t>
            </w:r>
            <w:r w:rsidRPr="00305B73">
              <w:rPr>
                <w:rFonts w:cstheme="minorHAnsi"/>
              </w:rPr>
              <w:t xml:space="preserve">tubular adenomas </w:t>
            </w:r>
            <w:r>
              <w:rPr>
                <w:rFonts w:cstheme="minorHAnsi"/>
              </w:rPr>
              <w:t xml:space="preserve">detected, were at average risk for CRC (i.e., </w:t>
            </w:r>
            <w:r w:rsidRPr="00305B73">
              <w:rPr>
                <w:rFonts w:cstheme="minorHAnsi"/>
              </w:rPr>
              <w:t>defined as without a family history or personal history of CRC, inflammatory bowel disease, or hereditary cancer syndrome</w:t>
            </w:r>
            <w:r>
              <w:rPr>
                <w:rFonts w:cstheme="minorHAnsi"/>
              </w:rPr>
              <w:t xml:space="preserve">), were coming </w:t>
            </w:r>
            <w:r w:rsidRPr="00305B73">
              <w:rPr>
                <w:rFonts w:cstheme="minorHAnsi"/>
              </w:rPr>
              <w:t xml:space="preserve">due for their 5-year surveillance procedure </w:t>
            </w:r>
            <w:r>
              <w:rPr>
                <w:rFonts w:cstheme="minorHAnsi"/>
              </w:rPr>
              <w:t xml:space="preserve">in </w:t>
            </w:r>
            <w:r w:rsidRPr="00305B73">
              <w:rPr>
                <w:rFonts w:cstheme="minorHAnsi"/>
              </w:rPr>
              <w:t>2022</w:t>
            </w:r>
            <w:r>
              <w:rPr>
                <w:rFonts w:cstheme="minorHAnsi"/>
              </w:rPr>
              <w:t xml:space="preserve"> or 2023, and had </w:t>
            </w:r>
            <w:r w:rsidRPr="00305B73">
              <w:rPr>
                <w:rFonts w:cstheme="minorHAnsi"/>
              </w:rPr>
              <w:t xml:space="preserve">a valid mailing address, kp.org account (i.e., KPNC’s secure messaging portal), and telephone number at time of study enrollment. </w:t>
            </w:r>
          </w:p>
          <w:p w14:paraId="6857348C" w14:textId="77777777" w:rsidR="00CD4923" w:rsidRPr="008E6D2C" w:rsidRDefault="00CD4923" w:rsidP="00CD4923">
            <w:pPr>
              <w:spacing w:line="259" w:lineRule="auto"/>
            </w:pPr>
          </w:p>
        </w:tc>
      </w:tr>
      <w:tr w:rsidR="00CD4923" w:rsidRPr="008E6D2C" w14:paraId="63E51E48" w14:textId="77777777" w:rsidTr="00CD4923">
        <w:trPr>
          <w:trHeight w:val="276"/>
        </w:trPr>
        <w:tc>
          <w:tcPr>
            <w:tcW w:w="1975" w:type="dxa"/>
          </w:tcPr>
          <w:p w14:paraId="165DD5D9" w14:textId="77777777" w:rsidR="00CD4923" w:rsidRPr="008E6D2C" w:rsidRDefault="00CD4923" w:rsidP="00CD4923">
            <w:pPr>
              <w:spacing w:line="259" w:lineRule="auto"/>
            </w:pPr>
            <w:r w:rsidRPr="008E6D2C">
              <w:t>Intervention or Exposure</w:t>
            </w:r>
          </w:p>
        </w:tc>
        <w:tc>
          <w:tcPr>
            <w:tcW w:w="8730" w:type="dxa"/>
          </w:tcPr>
          <w:p w14:paraId="28E1A4B3" w14:textId="77777777" w:rsidR="00CD4923" w:rsidRDefault="00CD4923" w:rsidP="00CD4923">
            <w:pPr>
              <w:spacing w:after="240"/>
              <w:contextualSpacing/>
              <w:jc w:val="both"/>
              <w:rPr>
                <w:rFonts w:eastAsia="Times New Roman" w:cstheme="minorHAnsi"/>
                <w:bCs/>
              </w:rPr>
            </w:pPr>
            <w:r>
              <w:rPr>
                <w:rFonts w:cstheme="minorHAnsi"/>
              </w:rPr>
              <w:t xml:space="preserve">Three outreach approaches (i.e., mailed letter, secure messaging, and telephone call),conducted in English and </w:t>
            </w:r>
            <w:r w:rsidRPr="00305B73">
              <w:rPr>
                <w:rFonts w:cstheme="minorHAnsi"/>
              </w:rPr>
              <w:t xml:space="preserve">identical </w:t>
            </w:r>
            <w:r>
              <w:rPr>
                <w:rFonts w:cstheme="minorHAnsi"/>
              </w:rPr>
              <w:t>i</w:t>
            </w:r>
            <w:r w:rsidRPr="00305B73">
              <w:rPr>
                <w:rFonts w:cstheme="minorHAnsi"/>
              </w:rPr>
              <w:t>n describing the latest surveillance guideline changes and explaining th</w:t>
            </w:r>
            <w:r>
              <w:rPr>
                <w:rFonts w:cstheme="minorHAnsi"/>
              </w:rPr>
              <w:t xml:space="preserve">e option </w:t>
            </w:r>
            <w:r w:rsidRPr="00305B73">
              <w:rPr>
                <w:rFonts w:cstheme="minorHAnsi"/>
              </w:rPr>
              <w:t xml:space="preserve">to extend their surveillance interval from 5 to 10 years. </w:t>
            </w:r>
            <w:r>
              <w:rPr>
                <w:rFonts w:cstheme="minorHAnsi"/>
              </w:rPr>
              <w:t>At outreach, p</w:t>
            </w:r>
            <w:r w:rsidRPr="00305B73">
              <w:rPr>
                <w:rFonts w:cstheme="minorHAnsi"/>
              </w:rPr>
              <w:t>atients w</w:t>
            </w:r>
            <w:r>
              <w:rPr>
                <w:rFonts w:cstheme="minorHAnsi"/>
              </w:rPr>
              <w:t>ere</w:t>
            </w:r>
            <w:r w:rsidRPr="00305B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offered</w:t>
            </w:r>
            <w:r w:rsidRPr="00305B73">
              <w:rPr>
                <w:rFonts w:cstheme="minorHAnsi"/>
              </w:rPr>
              <w:t xml:space="preserve"> the following response options: 1) adopt the 1</w:t>
            </w:r>
            <w:r w:rsidRPr="00305B73">
              <w:rPr>
                <w:rFonts w:eastAsia="Times New Roman" w:cstheme="minorHAnsi"/>
                <w:bCs/>
              </w:rPr>
              <w:t>0-year surveillance interval recommendation</w:t>
            </w:r>
            <w:r>
              <w:rPr>
                <w:rFonts w:eastAsia="Times New Roman" w:cstheme="minorHAnsi"/>
                <w:bCs/>
              </w:rPr>
              <w:t xml:space="preserve">, </w:t>
            </w:r>
            <w:r w:rsidRPr="00305B73">
              <w:rPr>
                <w:rFonts w:eastAsia="Times New Roman" w:cstheme="minorHAnsi"/>
                <w:bCs/>
              </w:rPr>
              <w:t>2) contin</w:t>
            </w:r>
            <w:r>
              <w:rPr>
                <w:rFonts w:eastAsia="Times New Roman" w:cstheme="minorHAnsi"/>
                <w:bCs/>
              </w:rPr>
              <w:t>ue</w:t>
            </w:r>
            <w:r w:rsidRPr="00305B73">
              <w:rPr>
                <w:rFonts w:eastAsia="Times New Roman" w:cstheme="minorHAnsi"/>
                <w:bCs/>
              </w:rPr>
              <w:t xml:space="preserve"> with the</w:t>
            </w:r>
            <w:r>
              <w:rPr>
                <w:rFonts w:eastAsia="Times New Roman" w:cstheme="minorHAnsi"/>
                <w:bCs/>
              </w:rPr>
              <w:t xml:space="preserve"> prior</w:t>
            </w:r>
            <w:r w:rsidRPr="00305B73">
              <w:rPr>
                <w:rFonts w:eastAsia="Times New Roman" w:cstheme="minorHAnsi"/>
                <w:bCs/>
              </w:rPr>
              <w:t xml:space="preserve"> 5-year surveillance</w:t>
            </w:r>
            <w:r>
              <w:rPr>
                <w:rFonts w:eastAsia="Times New Roman" w:cstheme="minorHAnsi"/>
                <w:bCs/>
              </w:rPr>
              <w:t xml:space="preserve"> recommendation, or 3)</w:t>
            </w:r>
            <w:r w:rsidRPr="00305B73">
              <w:rPr>
                <w:rFonts w:eastAsia="Times New Roman" w:cstheme="minorHAnsi"/>
                <w:bCs/>
              </w:rPr>
              <w:t xml:space="preserve"> reques</w:t>
            </w:r>
            <w:r>
              <w:rPr>
                <w:rFonts w:eastAsia="Times New Roman" w:cstheme="minorHAnsi"/>
                <w:bCs/>
              </w:rPr>
              <w:t>t</w:t>
            </w:r>
            <w:r w:rsidRPr="00305B73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an appointment</w:t>
            </w:r>
            <w:r w:rsidRPr="00305B73">
              <w:rPr>
                <w:rFonts w:eastAsia="Times New Roman" w:cstheme="minorHAnsi"/>
                <w:bCs/>
              </w:rPr>
              <w:t xml:space="preserve"> (e.g., virtual or clinic visit) </w:t>
            </w:r>
            <w:r>
              <w:rPr>
                <w:rFonts w:eastAsia="Times New Roman" w:cstheme="minorHAnsi"/>
                <w:bCs/>
              </w:rPr>
              <w:t xml:space="preserve">with their gastroenterologist for </w:t>
            </w:r>
            <w:r w:rsidRPr="00305B73">
              <w:rPr>
                <w:rFonts w:eastAsia="Times New Roman" w:cstheme="minorHAnsi"/>
                <w:bCs/>
              </w:rPr>
              <w:t>shared decision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305B73">
              <w:rPr>
                <w:rFonts w:eastAsia="Times New Roman" w:cstheme="minorHAnsi"/>
                <w:bCs/>
              </w:rPr>
              <w:t xml:space="preserve">making. </w:t>
            </w:r>
            <w:r>
              <w:rPr>
                <w:rFonts w:cstheme="minorHAnsi"/>
              </w:rPr>
              <w:t>P</w:t>
            </w:r>
            <w:r w:rsidRPr="00305B73">
              <w:rPr>
                <w:rFonts w:cstheme="minorHAnsi"/>
              </w:rPr>
              <w:t>atients</w:t>
            </w:r>
            <w:r>
              <w:rPr>
                <w:rFonts w:cstheme="minorHAnsi"/>
              </w:rPr>
              <w:t xml:space="preserve"> </w:t>
            </w:r>
            <w:r w:rsidRPr="00305B73">
              <w:rPr>
                <w:rFonts w:eastAsia="Times New Roman" w:cstheme="minorHAnsi"/>
                <w:bCs/>
              </w:rPr>
              <w:t xml:space="preserve">who </w:t>
            </w:r>
            <w:r>
              <w:rPr>
                <w:rFonts w:eastAsia="Times New Roman" w:cstheme="minorHAnsi"/>
                <w:bCs/>
              </w:rPr>
              <w:t>did</w:t>
            </w:r>
            <w:r w:rsidRPr="00305B73">
              <w:rPr>
                <w:rFonts w:eastAsia="Times New Roman" w:cstheme="minorHAnsi"/>
                <w:bCs/>
              </w:rPr>
              <w:t xml:space="preserve"> not respond within 4 weeks from the initial outreach</w:t>
            </w:r>
            <w:r>
              <w:rPr>
                <w:rFonts w:eastAsia="Times New Roman" w:cstheme="minorHAnsi"/>
                <w:bCs/>
              </w:rPr>
              <w:t xml:space="preserve"> received a second and final outreach attempt per their assigned arm (</w:t>
            </w:r>
            <w:r>
              <w:rPr>
                <w:rFonts w:cstheme="minorHAnsi"/>
              </w:rPr>
              <w:t>i.e., a person assigned to the secure messaging arm received a reminder via secure message)</w:t>
            </w:r>
            <w:r>
              <w:rPr>
                <w:rFonts w:eastAsia="Times New Roman" w:cstheme="minorHAnsi"/>
                <w:bCs/>
              </w:rPr>
              <w:t xml:space="preserve">. </w:t>
            </w:r>
          </w:p>
          <w:p w14:paraId="737829B6" w14:textId="77777777" w:rsidR="00CD4923" w:rsidRPr="008E6D2C" w:rsidRDefault="00CD4923" w:rsidP="00CD4923">
            <w:pPr>
              <w:spacing w:line="259" w:lineRule="auto"/>
            </w:pPr>
          </w:p>
        </w:tc>
      </w:tr>
      <w:tr w:rsidR="00CD4923" w:rsidRPr="008E6D2C" w14:paraId="0892F52E" w14:textId="77777777" w:rsidTr="00CD4923">
        <w:trPr>
          <w:trHeight w:val="2282"/>
        </w:trPr>
        <w:tc>
          <w:tcPr>
            <w:tcW w:w="1975" w:type="dxa"/>
          </w:tcPr>
          <w:p w14:paraId="67C79109" w14:textId="77777777" w:rsidR="00CD4923" w:rsidRPr="008E6D2C" w:rsidRDefault="00CD4923" w:rsidP="00CD4923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6E140126" w14:textId="77777777" w:rsidR="00CD4923" w:rsidRDefault="00CD4923" w:rsidP="00CD4923">
            <w:pPr>
              <w:jc w:val="both"/>
              <w:rPr>
                <w:rFonts w:cstheme="minorHAnsi"/>
              </w:rPr>
            </w:pPr>
            <w:r w:rsidRPr="006700AE">
              <w:rPr>
                <w:rFonts w:cstheme="minorHAnsi"/>
                <w:b/>
                <w:bCs/>
              </w:rPr>
              <w:t>Overall, there was a significantly higher response (p&lt;0.001) to telephone and secure messaging compared to mailed letter</w:t>
            </w:r>
            <w:r>
              <w:rPr>
                <w:rFonts w:cstheme="minorHAnsi"/>
              </w:rPr>
              <w:t xml:space="preserve">. The overall response rates were 64.5% (129 of 200) for telephone outreach and 51.7% (105 out of 203) for secure messaging, versus 31.3% (63 of 201) for mailed letter. </w:t>
            </w:r>
            <w:r w:rsidRPr="001C54C9">
              <w:rPr>
                <w:rFonts w:cstheme="minorHAnsi"/>
              </w:rPr>
              <w:t>A similar pattern was seen for the response to the initial outreach attempt, with significantly higher (p&lt;0.001) response rates of 49.5% (99 of 200) for telephone outreach and 31.5% (64 of 203) for secure messaging, versus 11.9% (24 of 201) for mailed letter.</w:t>
            </w:r>
          </w:p>
          <w:p w14:paraId="107D0AD0" w14:textId="77777777" w:rsidR="00CD4923" w:rsidRDefault="00CD4923" w:rsidP="00CD4923">
            <w:pPr>
              <w:jc w:val="both"/>
              <w:rPr>
                <w:rFonts w:cstheme="minorHAnsi"/>
              </w:rPr>
            </w:pPr>
          </w:p>
          <w:p w14:paraId="281498B8" w14:textId="77777777" w:rsidR="00CD4923" w:rsidRDefault="00CD4923" w:rsidP="00CD4923">
            <w:pPr>
              <w:jc w:val="both"/>
              <w:rPr>
                <w:rFonts w:cstheme="minorHAnsi"/>
              </w:rPr>
            </w:pPr>
            <w:r w:rsidRPr="006700AE">
              <w:rPr>
                <w:rFonts w:cstheme="minorHAnsi"/>
                <w:b/>
                <w:bCs/>
              </w:rPr>
              <w:t>Among the entire study population, we found that telephone and secure messaging outreach yielded significantly higher rates of adopting the 10-year surveillance interval compared to mailed letter outreach.</w:t>
            </w:r>
            <w:r>
              <w:rPr>
                <w:rFonts w:cstheme="minorHAnsi"/>
              </w:rPr>
              <w:t xml:space="preserve"> Specifically, 37.0% (74 of 200) of those in the telephone arm (p&lt;0.001) and 32.0% (70 of 203) of those in the secure message arm (p=0.002) opted for a 10-year surveillance interval, compared to 18.9% (38 of 201) in the mailed letter arm. </w:t>
            </w:r>
          </w:p>
          <w:p w14:paraId="39338570" w14:textId="77777777" w:rsidR="00CD4923" w:rsidRPr="008E6D2C" w:rsidRDefault="00CD4923" w:rsidP="00CD4923">
            <w:pPr>
              <w:spacing w:line="259" w:lineRule="auto"/>
            </w:pPr>
          </w:p>
        </w:tc>
      </w:tr>
      <w:tr w:rsidR="00CD4923" w:rsidRPr="008E6D2C" w14:paraId="242159B3" w14:textId="77777777" w:rsidTr="00CD4923">
        <w:trPr>
          <w:trHeight w:val="816"/>
        </w:trPr>
        <w:tc>
          <w:tcPr>
            <w:tcW w:w="1975" w:type="dxa"/>
          </w:tcPr>
          <w:p w14:paraId="08D490E0" w14:textId="77777777" w:rsidR="00CD4923" w:rsidRPr="008E6D2C" w:rsidRDefault="00CD4923" w:rsidP="00CD4923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5DC68677" w14:textId="77777777" w:rsidR="00CD4923" w:rsidRPr="006700AE" w:rsidRDefault="00CD4923" w:rsidP="00CD4923">
            <w:pPr>
              <w:spacing w:line="259" w:lineRule="auto"/>
            </w:pPr>
            <w:r>
              <w:t xml:space="preserve">The study findings supported decision by GI chiefs and departments to consider de-implementing outdated surveillance intervals as one of several approaches to deal with the colonoscopy backlog for low-risk patients. </w:t>
            </w:r>
          </w:p>
        </w:tc>
      </w:tr>
      <w:tr w:rsidR="00CD4923" w:rsidRPr="008E6D2C" w14:paraId="14F603D5" w14:textId="77777777" w:rsidTr="00CD4923">
        <w:trPr>
          <w:trHeight w:val="816"/>
        </w:trPr>
        <w:tc>
          <w:tcPr>
            <w:tcW w:w="1975" w:type="dxa"/>
          </w:tcPr>
          <w:p w14:paraId="2E7AF308" w14:textId="77777777" w:rsidR="00CD4923" w:rsidRPr="008E6D2C" w:rsidRDefault="00CD4923" w:rsidP="00CD4923">
            <w:r w:rsidRPr="008E6D2C">
              <w:t>Additional Recommendations</w:t>
            </w:r>
          </w:p>
        </w:tc>
        <w:tc>
          <w:tcPr>
            <w:tcW w:w="8730" w:type="dxa"/>
          </w:tcPr>
          <w:p w14:paraId="3DCA4CED" w14:textId="77777777" w:rsidR="00CD4923" w:rsidRPr="008E6D2C" w:rsidRDefault="00CD4923" w:rsidP="00CD4923">
            <w:r>
              <w:t>Telephone and secure messaging are preferred methods of outreach, over mailing.</w:t>
            </w:r>
          </w:p>
        </w:tc>
      </w:tr>
      <w:tr w:rsidR="00CD4923" w:rsidRPr="008E6D2C" w14:paraId="5E67F80D" w14:textId="77777777" w:rsidTr="00CD4923">
        <w:trPr>
          <w:trHeight w:val="552"/>
        </w:trPr>
        <w:tc>
          <w:tcPr>
            <w:tcW w:w="1975" w:type="dxa"/>
          </w:tcPr>
          <w:p w14:paraId="3CFDACCA" w14:textId="77777777" w:rsidR="00CD4923" w:rsidRPr="008E6D2C" w:rsidRDefault="00CD4923" w:rsidP="00CD4923">
            <w:pPr>
              <w:spacing w:line="259" w:lineRule="auto"/>
            </w:pPr>
            <w:r w:rsidRPr="008E6D2C">
              <w:lastRenderedPageBreak/>
              <w:t>Implementation Tools</w:t>
            </w:r>
            <w:r w:rsidRPr="008E6D2C">
              <w:tab/>
            </w:r>
          </w:p>
        </w:tc>
        <w:tc>
          <w:tcPr>
            <w:tcW w:w="8730" w:type="dxa"/>
          </w:tcPr>
          <w:p w14:paraId="6ADA93E0" w14:textId="77777777" w:rsidR="00CD4923" w:rsidRPr="008E6D2C" w:rsidRDefault="00CD4923" w:rsidP="00CD4923">
            <w:pPr>
              <w:spacing w:line="259" w:lineRule="auto"/>
            </w:pPr>
            <w:r>
              <w:t>N/A</w:t>
            </w:r>
          </w:p>
        </w:tc>
      </w:tr>
      <w:tr w:rsidR="00CD4923" w:rsidRPr="008E6D2C" w14:paraId="234E8513" w14:textId="77777777" w:rsidTr="00CD4923">
        <w:trPr>
          <w:trHeight w:val="552"/>
        </w:trPr>
        <w:tc>
          <w:tcPr>
            <w:tcW w:w="1975" w:type="dxa"/>
          </w:tcPr>
          <w:p w14:paraId="55A3F857" w14:textId="77777777" w:rsidR="00CD4923" w:rsidRPr="008E6D2C" w:rsidRDefault="00CD4923" w:rsidP="00CD4923">
            <w:pPr>
              <w:spacing w:line="259" w:lineRule="auto"/>
            </w:pPr>
            <w:r w:rsidRPr="008E6D2C">
              <w:t>Implementation Measurement</w:t>
            </w:r>
          </w:p>
        </w:tc>
        <w:tc>
          <w:tcPr>
            <w:tcW w:w="8730" w:type="dxa"/>
          </w:tcPr>
          <w:p w14:paraId="0E7B17D8" w14:textId="77777777" w:rsidR="00CD4923" w:rsidRPr="008E6D2C" w:rsidRDefault="00CD4923" w:rsidP="00CD4923">
            <w:pPr>
              <w:spacing w:line="259" w:lineRule="auto"/>
            </w:pPr>
            <w:r>
              <w:t>N/A</w:t>
            </w:r>
          </w:p>
        </w:tc>
      </w:tr>
      <w:tr w:rsidR="00CD4923" w:rsidRPr="008E6D2C" w14:paraId="15454D9F" w14:textId="77777777" w:rsidTr="00CD4923">
        <w:trPr>
          <w:trHeight w:val="538"/>
        </w:trPr>
        <w:tc>
          <w:tcPr>
            <w:tcW w:w="1975" w:type="dxa"/>
          </w:tcPr>
          <w:p w14:paraId="1653E7F2" w14:textId="77777777" w:rsidR="00CD4923" w:rsidRPr="008E6D2C" w:rsidRDefault="00CD4923" w:rsidP="00CD4923">
            <w:pPr>
              <w:spacing w:line="259" w:lineRule="auto"/>
            </w:pPr>
            <w:r w:rsidRPr="008E6D2C">
              <w:t>Reference</w:t>
            </w:r>
          </w:p>
        </w:tc>
        <w:tc>
          <w:tcPr>
            <w:tcW w:w="8730" w:type="dxa"/>
          </w:tcPr>
          <w:p w14:paraId="2BF5F1AD" w14:textId="77777777" w:rsidR="00CD4923" w:rsidRPr="008E6D2C" w:rsidRDefault="00CD4923" w:rsidP="00CD4923">
            <w:pPr>
              <w:spacing w:line="259" w:lineRule="auto"/>
            </w:pPr>
            <w:hyperlink r:id="rId8" w:history="1">
              <w:r>
                <w:rPr>
                  <w:rStyle w:val="Hyperlink"/>
                  <w:noProof/>
                </w:rPr>
                <w:t>https://pubmed.ncbi.nlm.nih.gov/38191014/</w:t>
              </w:r>
            </w:hyperlink>
          </w:p>
        </w:tc>
      </w:tr>
    </w:tbl>
    <w:bookmarkEnd w:id="0"/>
    <w:p w14:paraId="7D76C285" w14:textId="09F71795" w:rsidR="00BA2786" w:rsidRPr="00CD4923" w:rsidRDefault="00CD4923" w:rsidP="00E6265B">
      <w:pPr>
        <w:rPr>
          <w:rFonts w:cstheme="minorHAnsi"/>
          <w:sz w:val="16"/>
          <w:szCs w:val="16"/>
        </w:rPr>
      </w:pPr>
      <w:r w:rsidRPr="00CD4923">
        <w:rPr>
          <w:rFonts w:cstheme="minorHAnsi"/>
          <w:b/>
          <w:bCs/>
          <w:sz w:val="14"/>
          <w:szCs w:val="14"/>
        </w:rPr>
        <w:t xml:space="preserve"> </w:t>
      </w:r>
    </w:p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16B"/>
    <w:multiLevelType w:val="hybridMultilevel"/>
    <w:tmpl w:val="6C7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D0BEF"/>
    <w:multiLevelType w:val="hybridMultilevel"/>
    <w:tmpl w:val="1F6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843"/>
    <w:multiLevelType w:val="hybridMultilevel"/>
    <w:tmpl w:val="101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0890815">
    <w:abstractNumId w:val="1"/>
  </w:num>
  <w:num w:numId="2" w16cid:durableId="891964571">
    <w:abstractNumId w:val="0"/>
  </w:num>
  <w:num w:numId="3" w16cid:durableId="258875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45565"/>
    <w:rsid w:val="002A1A00"/>
    <w:rsid w:val="002C2F70"/>
    <w:rsid w:val="0031051B"/>
    <w:rsid w:val="00343DA6"/>
    <w:rsid w:val="003B6D1C"/>
    <w:rsid w:val="003D755D"/>
    <w:rsid w:val="003E27D1"/>
    <w:rsid w:val="003E34C5"/>
    <w:rsid w:val="0048655A"/>
    <w:rsid w:val="00514319"/>
    <w:rsid w:val="005555A6"/>
    <w:rsid w:val="006700AE"/>
    <w:rsid w:val="006D32D2"/>
    <w:rsid w:val="0072563B"/>
    <w:rsid w:val="007743A2"/>
    <w:rsid w:val="00777238"/>
    <w:rsid w:val="007A3F13"/>
    <w:rsid w:val="007D4991"/>
    <w:rsid w:val="008046A3"/>
    <w:rsid w:val="008131C8"/>
    <w:rsid w:val="00871F97"/>
    <w:rsid w:val="008A7C90"/>
    <w:rsid w:val="008E6D2C"/>
    <w:rsid w:val="009001F2"/>
    <w:rsid w:val="00933309"/>
    <w:rsid w:val="00987908"/>
    <w:rsid w:val="00A16BB1"/>
    <w:rsid w:val="00BA2786"/>
    <w:rsid w:val="00BD4C99"/>
    <w:rsid w:val="00C3487D"/>
    <w:rsid w:val="00C4025A"/>
    <w:rsid w:val="00C73A94"/>
    <w:rsid w:val="00CB0455"/>
    <w:rsid w:val="00CD4923"/>
    <w:rsid w:val="00CF4301"/>
    <w:rsid w:val="00D003F1"/>
    <w:rsid w:val="00D24534"/>
    <w:rsid w:val="00D6590A"/>
    <w:rsid w:val="00E369CD"/>
    <w:rsid w:val="00E37A64"/>
    <w:rsid w:val="00E6265B"/>
    <w:rsid w:val="00E8740F"/>
    <w:rsid w:val="00EB0401"/>
    <w:rsid w:val="00EF635D"/>
    <w:rsid w:val="00EF6EE1"/>
    <w:rsid w:val="00F91EB4"/>
    <w:rsid w:val="00FC0D94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F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700A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70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0AE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D65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19101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  <ds:schemaRef ds:uri="537647ec-f617-4999-8032-1f453e4c2fb5"/>
    <ds:schemaRef ds:uri="04c69e7e-30dd-4fc4-b8bc-afeef48eb057"/>
  </ds:schemaRefs>
</ds:datastoreItem>
</file>

<file path=customXml/itemProps2.xml><?xml version="1.0" encoding="utf-8"?>
<ds:datastoreItem xmlns:ds="http://schemas.openxmlformats.org/officeDocument/2006/customXml" ds:itemID="{44145D1F-DB72-4532-81DA-F15DED09F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9e7e-30dd-4fc4-b8bc-afeef48eb057"/>
    <ds:schemaRef ds:uri="537647ec-f617-4999-8032-1f453e4c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5</cp:revision>
  <dcterms:created xsi:type="dcterms:W3CDTF">2025-02-20T18:16:00Z</dcterms:created>
  <dcterms:modified xsi:type="dcterms:W3CDTF">2025-02-20T22:10:00Z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  <property fmtid="{D5CDD505-2E9C-101B-9397-08002B2CF9AE}" pid="3" name="MediaServiceImageTags">
    <vt:lpwstr/>
  </property>
</Properties>
</file>