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B10EA" w14:textId="68130E90" w:rsidR="00245565" w:rsidRPr="001823A7" w:rsidRDefault="00245565" w:rsidP="008E6D2C">
      <w:pPr>
        <w:rPr>
          <w:rFonts w:ascii="Cambria" w:eastAsia="Calibri" w:hAnsi="Cambria" w:cs="Calibri"/>
          <w:color w:val="4472C4" w:themeColor="accent1"/>
          <w:sz w:val="28"/>
          <w:szCs w:val="28"/>
        </w:rPr>
      </w:pPr>
      <w:r w:rsidRPr="001823A7">
        <w:rPr>
          <w:rFonts w:ascii="Cambria" w:eastAsia="Calibri" w:hAnsi="Cambria" w:cs="Calibri"/>
          <w:color w:val="4472C4" w:themeColor="accent1"/>
          <w:sz w:val="28"/>
          <w:szCs w:val="28"/>
        </w:rPr>
        <w:t>Delivery Science Grants Program</w:t>
      </w:r>
    </w:p>
    <w:p w14:paraId="51DCA4B8" w14:textId="18F5477F" w:rsidR="008202FB" w:rsidRPr="00271561" w:rsidRDefault="008202FB" w:rsidP="1EFE5C57">
      <w:pPr>
        <w:spacing w:after="0"/>
        <w:rPr>
          <w:rFonts w:ascii="Cambria" w:hAnsi="Cambria"/>
          <w:color w:val="000000" w:themeColor="text1"/>
          <w:highlight w:val="yellow"/>
        </w:rPr>
      </w:pPr>
      <w:r w:rsidRPr="00320CAB">
        <w:rPr>
          <w:rFonts w:ascii="Cambria" w:hAnsi="Cambria"/>
          <w:b/>
          <w:bCs/>
          <w:color w:val="000000" w:themeColor="text1"/>
        </w:rPr>
        <w:t>Project Title</w:t>
      </w:r>
      <w:r w:rsidRPr="00320CAB">
        <w:rPr>
          <w:rFonts w:ascii="Cambria" w:hAnsi="Cambria"/>
          <w:color w:val="000000" w:themeColor="text1"/>
        </w:rPr>
        <w:t xml:space="preserve">: </w:t>
      </w:r>
      <w:r w:rsidRPr="00271561">
        <w:rPr>
          <w:rFonts w:ascii="Cambria" w:hAnsi="Cambria"/>
          <w:color w:val="000000" w:themeColor="text1"/>
        </w:rPr>
        <w:t>Post-acute sequelae of SARS-CoV-2 infection (PASC) in adult KPNC members</w:t>
      </w:r>
    </w:p>
    <w:p w14:paraId="18A815D1" w14:textId="77777777" w:rsidR="008202FB" w:rsidRPr="00320CAB" w:rsidRDefault="008202FB" w:rsidP="008202FB">
      <w:pPr>
        <w:spacing w:after="0"/>
        <w:rPr>
          <w:rFonts w:ascii="Cambria" w:hAnsi="Cambria"/>
          <w:color w:val="000000" w:themeColor="text1"/>
        </w:rPr>
      </w:pPr>
    </w:p>
    <w:p w14:paraId="7D76C285" w14:textId="297E0517" w:rsidR="00BA2786" w:rsidRPr="008141E5" w:rsidRDefault="008202FB" w:rsidP="008141E5">
      <w:pPr>
        <w:spacing w:after="0"/>
        <w:rPr>
          <w:rFonts w:ascii="Cambria" w:hAnsi="Cambria"/>
          <w:color w:val="000000" w:themeColor="text1"/>
        </w:rPr>
      </w:pPr>
      <w:r w:rsidRPr="00320CAB">
        <w:rPr>
          <w:rFonts w:ascii="Cambria" w:hAnsi="Cambria"/>
          <w:b/>
          <w:bCs/>
          <w:color w:val="000000" w:themeColor="text1"/>
        </w:rPr>
        <w:t>Investigators</w:t>
      </w:r>
      <w:r w:rsidRPr="00320CAB">
        <w:rPr>
          <w:rFonts w:ascii="Cambria" w:hAnsi="Cambria"/>
          <w:color w:val="000000" w:themeColor="text1"/>
        </w:rPr>
        <w:t>: Dustin W. Ballard</w:t>
      </w:r>
      <w:r w:rsidR="00D54C86" w:rsidRPr="00320CAB">
        <w:rPr>
          <w:rFonts w:ascii="Cambria" w:hAnsi="Cambria"/>
          <w:color w:val="000000" w:themeColor="text1"/>
        </w:rPr>
        <w:t>, MD, MBE</w:t>
      </w:r>
      <w:r w:rsidRPr="00320CAB">
        <w:rPr>
          <w:rFonts w:ascii="Cambria" w:hAnsi="Cambria"/>
          <w:color w:val="000000" w:themeColor="text1"/>
        </w:rPr>
        <w:t xml:space="preserve"> (PI)</w:t>
      </w:r>
      <w:r w:rsidR="00D54C86" w:rsidRPr="00320CAB">
        <w:rPr>
          <w:rFonts w:ascii="Cambria" w:hAnsi="Cambria"/>
          <w:color w:val="000000" w:themeColor="text1"/>
        </w:rPr>
        <w:t>;</w:t>
      </w:r>
      <w:r w:rsidRPr="00320CAB">
        <w:rPr>
          <w:rFonts w:ascii="Cambria" w:hAnsi="Cambria"/>
          <w:color w:val="000000" w:themeColor="text1"/>
        </w:rPr>
        <w:t xml:space="preserve"> Mary E. Reed</w:t>
      </w:r>
      <w:r w:rsidR="00D54C86" w:rsidRPr="00320CAB">
        <w:rPr>
          <w:rFonts w:ascii="Cambria" w:hAnsi="Cambria"/>
          <w:color w:val="000000" w:themeColor="text1"/>
        </w:rPr>
        <w:t>, DrPH</w:t>
      </w:r>
      <w:r w:rsidRPr="00320CAB">
        <w:rPr>
          <w:rFonts w:ascii="Cambria" w:hAnsi="Cambria"/>
          <w:color w:val="000000" w:themeColor="text1"/>
        </w:rPr>
        <w:t xml:space="preserve"> (Co-PI)</w:t>
      </w:r>
      <w:r w:rsidR="00D54C86" w:rsidRPr="00320CAB">
        <w:rPr>
          <w:rFonts w:ascii="Cambria" w:hAnsi="Cambria"/>
          <w:color w:val="000000" w:themeColor="text1"/>
        </w:rPr>
        <w:t>;</w:t>
      </w:r>
      <w:r w:rsidRPr="00320CAB">
        <w:rPr>
          <w:rFonts w:ascii="Cambria" w:hAnsi="Cambria"/>
          <w:color w:val="000000" w:themeColor="text1"/>
        </w:rPr>
        <w:t xml:space="preserve"> Jacek Skarbinski, </w:t>
      </w:r>
      <w:r w:rsidR="00D54C86" w:rsidRPr="00320CAB">
        <w:rPr>
          <w:rFonts w:ascii="Cambria" w:hAnsi="Cambria"/>
          <w:color w:val="000000" w:themeColor="text1"/>
        </w:rPr>
        <w:t xml:space="preserve">MD; </w:t>
      </w:r>
      <w:r w:rsidRPr="00320CAB">
        <w:rPr>
          <w:rFonts w:ascii="Cambria" w:hAnsi="Cambria"/>
          <w:color w:val="000000" w:themeColor="text1"/>
        </w:rPr>
        <w:t>Edward Durant,</w:t>
      </w:r>
      <w:r w:rsidR="00D54C86" w:rsidRPr="00320CAB">
        <w:rPr>
          <w:rFonts w:ascii="Cambria" w:hAnsi="Cambria"/>
          <w:color w:val="000000" w:themeColor="text1"/>
        </w:rPr>
        <w:t xml:space="preserve"> MD;</w:t>
      </w:r>
      <w:r w:rsidRPr="00320CAB">
        <w:rPr>
          <w:rFonts w:ascii="Cambria" w:hAnsi="Cambria"/>
          <w:color w:val="000000" w:themeColor="text1"/>
        </w:rPr>
        <w:t xml:space="preserve"> David R. Vinson,</w:t>
      </w:r>
      <w:r w:rsidR="00D54C86" w:rsidRPr="00320CAB">
        <w:rPr>
          <w:rFonts w:ascii="Cambria" w:hAnsi="Cambria"/>
          <w:color w:val="000000" w:themeColor="text1"/>
        </w:rPr>
        <w:t xml:space="preserve"> MD;</w:t>
      </w:r>
      <w:r w:rsidRPr="00320CAB">
        <w:rPr>
          <w:rFonts w:ascii="Cambria" w:hAnsi="Cambria"/>
          <w:color w:val="000000" w:themeColor="text1"/>
        </w:rPr>
        <w:t xml:space="preserve"> Dustin Mark, </w:t>
      </w:r>
      <w:r w:rsidR="00D54C86" w:rsidRPr="00320CAB">
        <w:rPr>
          <w:rFonts w:ascii="Cambria" w:hAnsi="Cambria"/>
          <w:color w:val="000000" w:themeColor="text1"/>
        </w:rPr>
        <w:t xml:space="preserve">MD; </w:t>
      </w:r>
      <w:r w:rsidRPr="00320CAB">
        <w:rPr>
          <w:rFonts w:ascii="Cambria" w:hAnsi="Cambria"/>
          <w:color w:val="000000" w:themeColor="text1"/>
        </w:rPr>
        <w:t xml:space="preserve">Marc Siqueiros, </w:t>
      </w:r>
      <w:r w:rsidR="00D54C86" w:rsidRPr="00320CAB">
        <w:rPr>
          <w:rFonts w:ascii="Cambria" w:hAnsi="Cambria"/>
          <w:color w:val="000000" w:themeColor="text1"/>
        </w:rPr>
        <w:t xml:space="preserve">MD; </w:t>
      </w:r>
      <w:r w:rsidRPr="00320CAB">
        <w:rPr>
          <w:rFonts w:ascii="Cambria" w:hAnsi="Cambria"/>
          <w:color w:val="000000" w:themeColor="text1"/>
        </w:rPr>
        <w:t>Madhavi Cholleti</w:t>
      </w:r>
      <w:r w:rsidR="00D54C86" w:rsidRPr="00320CAB">
        <w:rPr>
          <w:rFonts w:ascii="Cambria" w:hAnsi="Cambria"/>
          <w:color w:val="000000" w:themeColor="text1"/>
        </w:rPr>
        <w:t>, MD;</w:t>
      </w:r>
      <w:r w:rsidRPr="00320CAB">
        <w:rPr>
          <w:rFonts w:ascii="Cambria" w:hAnsi="Cambria"/>
          <w:color w:val="000000" w:themeColor="text1"/>
        </w:rPr>
        <w:t xml:space="preserve"> and the KP CREST Network</w:t>
      </w:r>
    </w:p>
    <w:tbl>
      <w:tblPr>
        <w:tblStyle w:val="TableGrid"/>
        <w:tblpPr w:leftFromText="180" w:rightFromText="180" w:vertAnchor="page" w:horzAnchor="margin" w:tblpY="2581"/>
        <w:tblW w:w="10903" w:type="dxa"/>
        <w:tblLook w:val="04A0" w:firstRow="1" w:lastRow="0" w:firstColumn="1" w:lastColumn="0" w:noHBand="0" w:noVBand="1"/>
      </w:tblPr>
      <w:tblGrid>
        <w:gridCol w:w="1970"/>
        <w:gridCol w:w="13"/>
        <w:gridCol w:w="8850"/>
        <w:gridCol w:w="70"/>
      </w:tblGrid>
      <w:tr w:rsidR="00164C0F" w:rsidRPr="00320CAB" w14:paraId="307289BF" w14:textId="77777777" w:rsidTr="001537E6">
        <w:trPr>
          <w:gridAfter w:val="1"/>
          <w:wAfter w:w="70" w:type="dxa"/>
          <w:trHeight w:val="816"/>
        </w:trPr>
        <w:tc>
          <w:tcPr>
            <w:tcW w:w="1970" w:type="dxa"/>
          </w:tcPr>
          <w:p w14:paraId="2C7E2D09" w14:textId="77777777" w:rsidR="0048655A" w:rsidRPr="00320CAB" w:rsidRDefault="0048655A" w:rsidP="0048655A">
            <w:pPr>
              <w:spacing w:line="259" w:lineRule="auto"/>
              <w:rPr>
                <w:rFonts w:ascii="Cambria" w:hAnsi="Cambria"/>
                <w:color w:val="000000" w:themeColor="text1"/>
              </w:rPr>
            </w:pPr>
            <w:bookmarkStart w:id="0" w:name="_Hlk54105970"/>
            <w:r w:rsidRPr="00320CAB">
              <w:rPr>
                <w:rFonts w:ascii="Cambria" w:hAnsi="Cambria"/>
                <w:color w:val="000000" w:themeColor="text1"/>
              </w:rPr>
              <w:t>Challenge</w:t>
            </w:r>
          </w:p>
        </w:tc>
        <w:tc>
          <w:tcPr>
            <w:tcW w:w="8863" w:type="dxa"/>
            <w:gridSpan w:val="2"/>
          </w:tcPr>
          <w:p w14:paraId="7F9273D4" w14:textId="2DF6FF5D" w:rsidR="0048655A" w:rsidRPr="00320CAB" w:rsidRDefault="64F18BBE" w:rsidP="0048655A">
            <w:pPr>
              <w:spacing w:line="259" w:lineRule="auto"/>
              <w:rPr>
                <w:rFonts w:ascii="Cambria" w:hAnsi="Cambria"/>
                <w:b/>
                <w:bCs/>
                <w:color w:val="000000" w:themeColor="text1"/>
              </w:rPr>
            </w:pPr>
            <w:r w:rsidRPr="07F94BDE">
              <w:rPr>
                <w:rFonts w:ascii="Cambria" w:hAnsi="Cambria"/>
                <w:b/>
                <w:bCs/>
                <w:color w:val="000000" w:themeColor="text1"/>
              </w:rPr>
              <w:t xml:space="preserve">Research on Post-acute </w:t>
            </w:r>
            <w:r w:rsidR="0EE5268C" w:rsidRPr="07F94BDE">
              <w:rPr>
                <w:rFonts w:ascii="Cambria" w:hAnsi="Cambria"/>
                <w:b/>
                <w:bCs/>
                <w:color w:val="000000" w:themeColor="text1"/>
              </w:rPr>
              <w:t>S</w:t>
            </w:r>
            <w:r w:rsidRPr="07F94BDE">
              <w:rPr>
                <w:rFonts w:ascii="Cambria" w:hAnsi="Cambria"/>
                <w:b/>
                <w:bCs/>
                <w:color w:val="000000" w:themeColor="text1"/>
              </w:rPr>
              <w:t xml:space="preserve">equelae of COVID (PASC) has focused on the prevalence of symptoms, leaving gaps in our understanding of predictors </w:t>
            </w:r>
            <w:r w:rsidR="1BD11372" w:rsidRPr="07F94BDE">
              <w:rPr>
                <w:rFonts w:ascii="Cambria" w:hAnsi="Cambria"/>
                <w:b/>
                <w:bCs/>
                <w:color w:val="000000" w:themeColor="text1"/>
              </w:rPr>
              <w:t xml:space="preserve">and impact </w:t>
            </w:r>
            <w:r w:rsidRPr="07F94BDE">
              <w:rPr>
                <w:rFonts w:ascii="Cambria" w:hAnsi="Cambria"/>
                <w:b/>
                <w:bCs/>
                <w:color w:val="000000" w:themeColor="text1"/>
              </w:rPr>
              <w:t xml:space="preserve">of health care </w:t>
            </w:r>
            <w:r w:rsidR="5C7FC8BC" w:rsidRPr="07F94BDE">
              <w:rPr>
                <w:rFonts w:ascii="Cambria" w:hAnsi="Cambria"/>
                <w:b/>
                <w:bCs/>
                <w:color w:val="000000" w:themeColor="text1"/>
              </w:rPr>
              <w:t>utilization</w:t>
            </w:r>
            <w:r w:rsidR="00092644" w:rsidRPr="07F94BDE">
              <w:rPr>
                <w:rFonts w:ascii="Cambria" w:hAnsi="Cambria"/>
                <w:b/>
                <w:bCs/>
                <w:color w:val="000000" w:themeColor="text1"/>
              </w:rPr>
              <w:t>.</w:t>
            </w:r>
          </w:p>
        </w:tc>
      </w:tr>
      <w:tr w:rsidR="00164C0F" w:rsidRPr="00320CAB" w14:paraId="67D435C8" w14:textId="77777777" w:rsidTr="001537E6">
        <w:trPr>
          <w:gridAfter w:val="1"/>
          <w:wAfter w:w="70" w:type="dxa"/>
          <w:trHeight w:val="1091"/>
        </w:trPr>
        <w:tc>
          <w:tcPr>
            <w:tcW w:w="1970" w:type="dxa"/>
          </w:tcPr>
          <w:p w14:paraId="351B366F" w14:textId="77777777" w:rsidR="0048655A" w:rsidRPr="00320CAB" w:rsidRDefault="0048655A" w:rsidP="0048655A">
            <w:pPr>
              <w:spacing w:line="259" w:lineRule="auto"/>
              <w:rPr>
                <w:rFonts w:ascii="Cambria" w:hAnsi="Cambria"/>
                <w:color w:val="000000" w:themeColor="text1"/>
              </w:rPr>
            </w:pPr>
            <w:r w:rsidRPr="00320CAB">
              <w:rPr>
                <w:rFonts w:ascii="Cambria" w:hAnsi="Cambria"/>
                <w:color w:val="000000" w:themeColor="text1"/>
              </w:rPr>
              <w:t>Existing Evidence</w:t>
            </w:r>
          </w:p>
        </w:tc>
        <w:tc>
          <w:tcPr>
            <w:tcW w:w="8863" w:type="dxa"/>
            <w:gridSpan w:val="2"/>
          </w:tcPr>
          <w:p w14:paraId="776D04B2" w14:textId="7069F9C0" w:rsidR="0048655A" w:rsidRDefault="00B65625" w:rsidP="0048655A">
            <w:pPr>
              <w:spacing w:line="259" w:lineRule="auto"/>
              <w:rPr>
                <w:rFonts w:ascii="Cambria" w:hAnsi="Cambria"/>
                <w:color w:val="000000" w:themeColor="text1"/>
              </w:rPr>
            </w:pPr>
            <w:r w:rsidRPr="00320CAB">
              <w:rPr>
                <w:rFonts w:ascii="Cambria" w:hAnsi="Cambria"/>
                <w:color w:val="000000" w:themeColor="text1"/>
              </w:rPr>
              <w:t xml:space="preserve">At the time </w:t>
            </w:r>
            <w:r w:rsidR="004A1746" w:rsidRPr="00320CAB">
              <w:rPr>
                <w:rFonts w:ascii="Cambria" w:hAnsi="Cambria"/>
                <w:color w:val="000000" w:themeColor="text1"/>
              </w:rPr>
              <w:t>this project was initiated there was limited evidence about PASC including its prevalence, risk-factors and impact on utilization. Since then</w:t>
            </w:r>
            <w:r w:rsidR="5EC5EE44" w:rsidRPr="0118C84B">
              <w:rPr>
                <w:rFonts w:ascii="Cambria" w:hAnsi="Cambria"/>
                <w:color w:val="000000" w:themeColor="text1"/>
              </w:rPr>
              <w:t>,</w:t>
            </w:r>
            <w:r w:rsidR="004A1746" w:rsidRPr="00320CAB">
              <w:rPr>
                <w:rFonts w:ascii="Cambria" w:hAnsi="Cambria"/>
                <w:color w:val="000000" w:themeColor="text1"/>
              </w:rPr>
              <w:t xml:space="preserve"> the body of evidence has grown </w:t>
            </w:r>
            <w:r w:rsidR="00C41DB3" w:rsidRPr="00320CAB">
              <w:rPr>
                <w:rFonts w:ascii="Cambria" w:hAnsi="Cambria"/>
                <w:color w:val="000000" w:themeColor="text1"/>
              </w:rPr>
              <w:t>substantially,</w:t>
            </w:r>
            <w:r w:rsidR="004A1746" w:rsidRPr="00320CAB">
              <w:rPr>
                <w:rFonts w:ascii="Cambria" w:hAnsi="Cambria"/>
                <w:color w:val="000000" w:themeColor="text1"/>
              </w:rPr>
              <w:t xml:space="preserve"> and the key findings of our Aims are consistent with this now </w:t>
            </w:r>
            <w:r w:rsidR="00C41DB3" w:rsidRPr="00320CAB">
              <w:rPr>
                <w:rFonts w:ascii="Cambria" w:hAnsi="Cambria"/>
                <w:color w:val="000000" w:themeColor="text1"/>
              </w:rPr>
              <w:t>extensive</w:t>
            </w:r>
            <w:r w:rsidR="004A1746" w:rsidRPr="00320CAB">
              <w:rPr>
                <w:rFonts w:ascii="Cambria" w:hAnsi="Cambria"/>
                <w:color w:val="000000" w:themeColor="text1"/>
              </w:rPr>
              <w:t xml:space="preserve"> body of evidence. </w:t>
            </w:r>
            <w:r w:rsidR="0048655A" w:rsidRPr="00320CAB">
              <w:rPr>
                <w:rFonts w:ascii="Cambria" w:hAnsi="Cambria"/>
                <w:color w:val="000000" w:themeColor="text1"/>
              </w:rPr>
              <w:t xml:space="preserve"> </w:t>
            </w:r>
          </w:p>
          <w:p w14:paraId="70041630" w14:textId="39D129B3" w:rsidR="00C41DB3" w:rsidRPr="00320CAB" w:rsidRDefault="00C41DB3" w:rsidP="0048655A">
            <w:pPr>
              <w:spacing w:line="259" w:lineRule="auto"/>
              <w:rPr>
                <w:rFonts w:ascii="Cambria" w:hAnsi="Cambria"/>
                <w:color w:val="000000" w:themeColor="text1"/>
              </w:rPr>
            </w:pPr>
          </w:p>
        </w:tc>
      </w:tr>
      <w:tr w:rsidR="00164C0F" w:rsidRPr="00320CAB" w14:paraId="136E6453" w14:textId="77777777" w:rsidTr="001537E6">
        <w:trPr>
          <w:gridAfter w:val="1"/>
          <w:wAfter w:w="70" w:type="dxa"/>
          <w:trHeight w:val="262"/>
        </w:trPr>
        <w:tc>
          <w:tcPr>
            <w:tcW w:w="1970" w:type="dxa"/>
          </w:tcPr>
          <w:p w14:paraId="53202DB8" w14:textId="77777777" w:rsidR="0048655A" w:rsidRPr="00320CAB" w:rsidRDefault="0048655A" w:rsidP="0048655A">
            <w:pPr>
              <w:spacing w:line="259" w:lineRule="auto"/>
              <w:rPr>
                <w:rFonts w:ascii="Cambria" w:hAnsi="Cambria"/>
                <w:color w:val="000000" w:themeColor="text1"/>
              </w:rPr>
            </w:pPr>
            <w:r w:rsidRPr="00320CAB">
              <w:rPr>
                <w:rFonts w:ascii="Cambria" w:hAnsi="Cambria"/>
                <w:color w:val="000000" w:themeColor="text1"/>
              </w:rPr>
              <w:t>Target Population</w:t>
            </w:r>
          </w:p>
        </w:tc>
        <w:tc>
          <w:tcPr>
            <w:tcW w:w="8863" w:type="dxa"/>
            <w:gridSpan w:val="2"/>
          </w:tcPr>
          <w:p w14:paraId="5BAE8024" w14:textId="77777777" w:rsidR="0048655A" w:rsidRDefault="04AE734F" w:rsidP="0048655A">
            <w:pPr>
              <w:spacing w:line="259" w:lineRule="auto"/>
              <w:rPr>
                <w:rFonts w:ascii="Cambria" w:hAnsi="Cambria"/>
                <w:color w:val="000000" w:themeColor="text1"/>
              </w:rPr>
            </w:pPr>
            <w:r w:rsidRPr="07F94BDE">
              <w:rPr>
                <w:rFonts w:ascii="Cambria" w:hAnsi="Cambria"/>
                <w:color w:val="000000" w:themeColor="text1"/>
              </w:rPr>
              <w:t xml:space="preserve">KPNC adult members with </w:t>
            </w:r>
            <w:r w:rsidR="1175DD16" w:rsidRPr="07F94BDE">
              <w:rPr>
                <w:rFonts w:ascii="Cambria" w:hAnsi="Cambria"/>
                <w:color w:val="000000" w:themeColor="text1"/>
              </w:rPr>
              <w:t xml:space="preserve">COVID including </w:t>
            </w:r>
            <w:r w:rsidRPr="07F94BDE">
              <w:rPr>
                <w:rFonts w:ascii="Cambria" w:hAnsi="Cambria"/>
                <w:color w:val="000000" w:themeColor="text1"/>
              </w:rPr>
              <w:t>PASC</w:t>
            </w:r>
            <w:r w:rsidR="00C41DB3">
              <w:rPr>
                <w:rFonts w:ascii="Cambria" w:hAnsi="Cambria"/>
                <w:color w:val="000000" w:themeColor="text1"/>
              </w:rPr>
              <w:t>,</w:t>
            </w:r>
            <w:r w:rsidR="7019CF83" w:rsidRPr="07F94BDE">
              <w:rPr>
                <w:rFonts w:ascii="Cambria" w:hAnsi="Cambria"/>
                <w:color w:val="000000" w:themeColor="text1"/>
              </w:rPr>
              <w:t xml:space="preserve"> </w:t>
            </w:r>
            <w:r w:rsidR="028B9123" w:rsidRPr="07F94BDE">
              <w:rPr>
                <w:rFonts w:ascii="Cambria" w:hAnsi="Cambria"/>
                <w:color w:val="000000" w:themeColor="text1"/>
              </w:rPr>
              <w:t>and a comparison group without PASC</w:t>
            </w:r>
            <w:r w:rsidR="468CD759" w:rsidRPr="07F94BDE">
              <w:rPr>
                <w:rFonts w:ascii="Cambria" w:hAnsi="Cambria"/>
                <w:color w:val="000000" w:themeColor="text1"/>
              </w:rPr>
              <w:t>.</w:t>
            </w:r>
          </w:p>
          <w:p w14:paraId="1486D38C" w14:textId="74E96C2D" w:rsidR="00C41DB3" w:rsidRPr="00320CAB" w:rsidRDefault="00C41DB3" w:rsidP="0048655A">
            <w:pPr>
              <w:spacing w:line="259" w:lineRule="auto"/>
              <w:rPr>
                <w:rFonts w:ascii="Cambria" w:hAnsi="Cambria"/>
                <w:color w:val="000000" w:themeColor="text1"/>
              </w:rPr>
            </w:pPr>
          </w:p>
        </w:tc>
      </w:tr>
      <w:tr w:rsidR="00164C0F" w:rsidRPr="00320CAB" w14:paraId="5B80BED5" w14:textId="77777777" w:rsidTr="001537E6">
        <w:trPr>
          <w:gridAfter w:val="1"/>
          <w:wAfter w:w="70" w:type="dxa"/>
          <w:trHeight w:val="276"/>
        </w:trPr>
        <w:tc>
          <w:tcPr>
            <w:tcW w:w="1970" w:type="dxa"/>
          </w:tcPr>
          <w:p w14:paraId="0D0B7C0D" w14:textId="77777777" w:rsidR="0048655A" w:rsidRPr="00320CAB" w:rsidRDefault="0048655A" w:rsidP="0048655A">
            <w:pPr>
              <w:spacing w:line="259" w:lineRule="auto"/>
              <w:rPr>
                <w:rFonts w:ascii="Cambria" w:hAnsi="Cambria"/>
                <w:color w:val="000000" w:themeColor="text1"/>
              </w:rPr>
            </w:pPr>
            <w:r w:rsidRPr="00320CAB">
              <w:rPr>
                <w:rFonts w:ascii="Cambria" w:hAnsi="Cambria"/>
                <w:color w:val="000000" w:themeColor="text1"/>
              </w:rPr>
              <w:t>Intervention or Exposure</w:t>
            </w:r>
          </w:p>
        </w:tc>
        <w:tc>
          <w:tcPr>
            <w:tcW w:w="8863" w:type="dxa"/>
            <w:gridSpan w:val="2"/>
          </w:tcPr>
          <w:p w14:paraId="4F4FF44A" w14:textId="0AD8AC1E" w:rsidR="00F37D92" w:rsidRPr="00320CAB" w:rsidRDefault="007914BF" w:rsidP="16522FB7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H</w:t>
            </w:r>
            <w:r w:rsidR="24094BED" w:rsidRPr="16522FB7">
              <w:rPr>
                <w:rFonts w:ascii="Cambria" w:hAnsi="Cambria"/>
                <w:color w:val="000000" w:themeColor="text1"/>
              </w:rPr>
              <w:t xml:space="preserve">ealth care utilization between </w:t>
            </w:r>
            <w:r w:rsidR="327B7FDA" w:rsidRPr="16522FB7">
              <w:rPr>
                <w:rFonts w:ascii="Cambria" w:hAnsi="Cambria"/>
                <w:color w:val="000000" w:themeColor="text1"/>
              </w:rPr>
              <w:t xml:space="preserve">patients with </w:t>
            </w:r>
            <w:r w:rsidR="24094BED" w:rsidRPr="16522FB7">
              <w:rPr>
                <w:rFonts w:ascii="Cambria" w:hAnsi="Cambria"/>
                <w:color w:val="000000" w:themeColor="text1"/>
              </w:rPr>
              <w:t>PASC c</w:t>
            </w:r>
            <w:r w:rsidR="4718BA8E" w:rsidRPr="16522FB7">
              <w:rPr>
                <w:rFonts w:ascii="Cambria" w:hAnsi="Cambria"/>
                <w:color w:val="000000" w:themeColor="text1"/>
              </w:rPr>
              <w:t>are-seeking and patients without P</w:t>
            </w:r>
            <w:r w:rsidR="025B33ED" w:rsidRPr="16522FB7">
              <w:rPr>
                <w:rFonts w:ascii="Cambria" w:hAnsi="Cambria"/>
                <w:color w:val="000000" w:themeColor="text1"/>
              </w:rPr>
              <w:t xml:space="preserve">ASC care-seeking </w:t>
            </w:r>
          </w:p>
          <w:p w14:paraId="495B9E63" w14:textId="77777777" w:rsidR="00F37D92" w:rsidRPr="00320CAB" w:rsidRDefault="00F37D92" w:rsidP="00F37D92">
            <w:pPr>
              <w:rPr>
                <w:rFonts w:ascii="Cambria" w:hAnsi="Cambria"/>
                <w:color w:val="000000" w:themeColor="text1"/>
              </w:rPr>
            </w:pPr>
          </w:p>
          <w:p w14:paraId="0CA2C589" w14:textId="706390F8" w:rsidR="0048655A" w:rsidRPr="00320CAB" w:rsidRDefault="0048655A" w:rsidP="00F37D92">
            <w:pPr>
              <w:spacing w:line="259" w:lineRule="auto"/>
              <w:rPr>
                <w:rFonts w:ascii="Cambria" w:hAnsi="Cambria"/>
                <w:color w:val="000000" w:themeColor="text1"/>
              </w:rPr>
            </w:pPr>
          </w:p>
        </w:tc>
      </w:tr>
      <w:tr w:rsidR="00164C0F" w:rsidRPr="00320CAB" w14:paraId="13978FD3" w14:textId="77777777" w:rsidTr="001537E6">
        <w:trPr>
          <w:trHeight w:val="2282"/>
        </w:trPr>
        <w:tc>
          <w:tcPr>
            <w:tcW w:w="1983" w:type="dxa"/>
            <w:gridSpan w:val="2"/>
          </w:tcPr>
          <w:p w14:paraId="7525D5B4" w14:textId="77777777" w:rsidR="0048655A" w:rsidRPr="00320CAB" w:rsidRDefault="0048655A" w:rsidP="0048655A">
            <w:pPr>
              <w:spacing w:line="259" w:lineRule="auto"/>
              <w:rPr>
                <w:rFonts w:ascii="Cambria" w:hAnsi="Cambria"/>
                <w:b/>
                <w:bCs/>
                <w:color w:val="000000" w:themeColor="text1"/>
              </w:rPr>
            </w:pPr>
            <w:r w:rsidRPr="00320CAB">
              <w:rPr>
                <w:rFonts w:ascii="Cambria" w:hAnsi="Cambria"/>
                <w:b/>
                <w:bCs/>
                <w:color w:val="000000" w:themeColor="text1"/>
              </w:rPr>
              <w:t>Outcomes/Key Findings</w:t>
            </w:r>
          </w:p>
        </w:tc>
        <w:tc>
          <w:tcPr>
            <w:tcW w:w="8920" w:type="dxa"/>
            <w:gridSpan w:val="2"/>
          </w:tcPr>
          <w:p w14:paraId="268AC4F8" w14:textId="0A609057" w:rsidR="00A82A1D" w:rsidRPr="00320CAB" w:rsidRDefault="103C117E" w:rsidP="00C41DB3">
            <w:pPr>
              <w:rPr>
                <w:rFonts w:ascii="Cambria" w:hAnsi="Cambria"/>
                <w:color w:val="000000" w:themeColor="text1"/>
              </w:rPr>
            </w:pPr>
            <w:r w:rsidRPr="07F94BDE">
              <w:rPr>
                <w:rFonts w:ascii="Cambria" w:hAnsi="Cambria"/>
                <w:color w:val="000000" w:themeColor="text1"/>
              </w:rPr>
              <w:t xml:space="preserve">PASC care </w:t>
            </w:r>
            <w:r w:rsidR="76CD763F" w:rsidRPr="07F94BDE">
              <w:rPr>
                <w:rFonts w:ascii="Cambria" w:hAnsi="Cambria"/>
                <w:color w:val="000000" w:themeColor="text1"/>
              </w:rPr>
              <w:t xml:space="preserve">utilization </w:t>
            </w:r>
            <w:r w:rsidR="00204421">
              <w:rPr>
                <w:rFonts w:ascii="Cambria" w:hAnsi="Cambria"/>
                <w:color w:val="000000" w:themeColor="text1"/>
              </w:rPr>
              <w:t xml:space="preserve">(care-seeking) </w:t>
            </w:r>
            <w:r w:rsidRPr="07F94BDE">
              <w:rPr>
                <w:rFonts w:ascii="Cambria" w:hAnsi="Cambria"/>
                <w:color w:val="000000" w:themeColor="text1"/>
              </w:rPr>
              <w:t>prevalence in KPNC was less common than incidence of PASC described in other settings however was associated with s</w:t>
            </w:r>
            <w:r w:rsidR="0A037A23" w:rsidRPr="07F94BDE">
              <w:rPr>
                <w:rFonts w:ascii="Cambria" w:hAnsi="Cambria"/>
                <w:color w:val="000000" w:themeColor="text1"/>
              </w:rPr>
              <w:t xml:space="preserve">tark and broad increases in </w:t>
            </w:r>
            <w:r w:rsidRPr="07F94BDE">
              <w:rPr>
                <w:rFonts w:ascii="Cambria" w:hAnsi="Cambria"/>
                <w:color w:val="000000" w:themeColor="text1"/>
              </w:rPr>
              <w:t xml:space="preserve">healthcare </w:t>
            </w:r>
            <w:r w:rsidR="0A037A23" w:rsidRPr="07F94BDE">
              <w:rPr>
                <w:rFonts w:ascii="Cambria" w:hAnsi="Cambria"/>
                <w:color w:val="000000" w:themeColor="text1"/>
              </w:rPr>
              <w:t>utilization</w:t>
            </w:r>
            <w:r w:rsidRPr="07F94BDE">
              <w:rPr>
                <w:rFonts w:ascii="Cambria" w:hAnsi="Cambria"/>
                <w:color w:val="000000" w:themeColor="text1"/>
              </w:rPr>
              <w:t>.</w:t>
            </w:r>
            <w:r w:rsidR="0A037A23" w:rsidRPr="07F94BDE">
              <w:rPr>
                <w:rFonts w:ascii="Cambria" w:hAnsi="Cambria"/>
                <w:color w:val="000000" w:themeColor="text1"/>
              </w:rPr>
              <w:t xml:space="preserve"> </w:t>
            </w:r>
            <w:r w:rsidR="00844C7B">
              <w:rPr>
                <w:rFonts w:ascii="Cambria" w:hAnsi="Cambria"/>
                <w:color w:val="000000" w:themeColor="text1"/>
              </w:rPr>
              <w:t>P</w:t>
            </w:r>
            <w:r w:rsidRPr="07F94BDE">
              <w:rPr>
                <w:rFonts w:ascii="Cambria" w:hAnsi="Cambria"/>
                <w:color w:val="000000" w:themeColor="text1"/>
              </w:rPr>
              <w:t>redictors of PASC care</w:t>
            </w:r>
            <w:r w:rsidR="3D6F155D" w:rsidRPr="07F94BDE">
              <w:rPr>
                <w:rFonts w:ascii="Cambria" w:hAnsi="Cambria"/>
                <w:color w:val="000000" w:themeColor="text1"/>
              </w:rPr>
              <w:t xml:space="preserve"> utilization</w:t>
            </w:r>
            <w:r w:rsidRPr="07F94BDE">
              <w:rPr>
                <w:rFonts w:ascii="Cambria" w:hAnsi="Cambria"/>
                <w:color w:val="000000" w:themeColor="text1"/>
              </w:rPr>
              <w:t>, includ</w:t>
            </w:r>
            <w:r w:rsidR="00844C7B">
              <w:rPr>
                <w:rFonts w:ascii="Cambria" w:hAnsi="Cambria"/>
                <w:color w:val="000000" w:themeColor="text1"/>
              </w:rPr>
              <w:t>ed</w:t>
            </w:r>
            <w:r w:rsidRPr="07F94BDE">
              <w:rPr>
                <w:rFonts w:ascii="Cambria" w:hAnsi="Cambria"/>
                <w:color w:val="000000" w:themeColor="text1"/>
              </w:rPr>
              <w:t xml:space="preserve"> higher illness severity, medical comorbidities, and infection during the COVID-19 Delta and pre-Delta periods</w:t>
            </w:r>
            <w:r w:rsidR="371342A6" w:rsidRPr="07F94BDE">
              <w:rPr>
                <w:rFonts w:ascii="Cambria" w:hAnsi="Cambria"/>
                <w:color w:val="000000" w:themeColor="text1"/>
              </w:rPr>
              <w:t>.</w:t>
            </w:r>
          </w:p>
          <w:p w14:paraId="578FFEDC" w14:textId="77777777" w:rsidR="00A82A1D" w:rsidRPr="00320CAB" w:rsidRDefault="00A82A1D" w:rsidP="00A82A1D">
            <w:pPr>
              <w:spacing w:line="259" w:lineRule="auto"/>
              <w:rPr>
                <w:rFonts w:ascii="Cambria" w:hAnsi="Cambria"/>
                <w:color w:val="000000" w:themeColor="text1"/>
              </w:rPr>
            </w:pPr>
          </w:p>
          <w:p w14:paraId="14EAE45C" w14:textId="48C4419C" w:rsidR="00F37D92" w:rsidRPr="00E17CF6" w:rsidRDefault="78341411" w:rsidP="001A22BD">
            <w:pPr>
              <w:spacing w:line="259" w:lineRule="auto"/>
              <w:rPr>
                <w:rFonts w:ascii="Cambria" w:hAnsi="Cambria" w:cs="__1"/>
                <w:color w:val="000000" w:themeColor="text1"/>
              </w:rPr>
            </w:pPr>
            <w:r w:rsidRPr="07F94BDE">
              <w:rPr>
                <w:rFonts w:ascii="Cambria" w:hAnsi="Cambria"/>
                <w:b/>
                <w:bCs/>
                <w:color w:val="000000" w:themeColor="text1"/>
                <w:u w:val="single"/>
              </w:rPr>
              <w:t>Characteristics</w:t>
            </w:r>
            <w:r w:rsidR="00E17CF6">
              <w:rPr>
                <w:rFonts w:ascii="Cambria" w:hAnsi="Cambria"/>
                <w:b/>
                <w:bCs/>
                <w:color w:val="000000" w:themeColor="text1"/>
                <w:u w:val="single"/>
              </w:rPr>
              <w:t>/predictors</w:t>
            </w:r>
            <w:r w:rsidRPr="07F94BDE">
              <w:rPr>
                <w:rFonts w:ascii="Cambria" w:hAnsi="Cambria"/>
                <w:b/>
                <w:bCs/>
                <w:color w:val="000000" w:themeColor="text1"/>
                <w:u w:val="single"/>
              </w:rPr>
              <w:t xml:space="preserve"> associated with PASC care-</w:t>
            </w:r>
            <w:r w:rsidR="4F073C4B" w:rsidRPr="07F94BDE">
              <w:rPr>
                <w:rFonts w:ascii="Cambria" w:hAnsi="Cambria"/>
                <w:b/>
                <w:bCs/>
                <w:color w:val="000000" w:themeColor="text1"/>
                <w:u w:val="single"/>
              </w:rPr>
              <w:t xml:space="preserve"> utilization</w:t>
            </w:r>
            <w:r w:rsidR="00F76EE4">
              <w:rPr>
                <w:rFonts w:ascii="Cambria" w:hAnsi="Cambria"/>
                <w:b/>
                <w:bCs/>
                <w:color w:val="000000" w:themeColor="text1"/>
                <w:u w:val="single"/>
              </w:rPr>
              <w:t xml:space="preserve"> </w:t>
            </w:r>
            <w:proofErr w:type="gramStart"/>
            <w:r w:rsidR="00E17CF6" w:rsidRPr="00E17CF6">
              <w:rPr>
                <w:rFonts w:ascii="Cambria" w:hAnsi="Cambria" w:cs="__1"/>
                <w:color w:val="000000" w:themeColor="text1"/>
              </w:rPr>
              <w:t>Of</w:t>
            </w:r>
            <w:proofErr w:type="gramEnd"/>
            <w:r w:rsidR="00E17CF6" w:rsidRPr="00E17CF6">
              <w:rPr>
                <w:rFonts w:ascii="Cambria" w:hAnsi="Cambria" w:cs="__1"/>
                <w:color w:val="000000" w:themeColor="text1"/>
              </w:rPr>
              <w:t xml:space="preserve"> 600,295 surviving COVID patients, 3,797 (0.63%) had eligible PASC care encounters. </w:t>
            </w:r>
            <w:r w:rsidR="129B9280" w:rsidRPr="00E17CF6">
              <w:rPr>
                <w:rFonts w:ascii="Cambria" w:hAnsi="Cambria"/>
                <w:color w:val="000000" w:themeColor="text1"/>
              </w:rPr>
              <w:t>Female sex (RR 1.29, 95% CI 1.20 - 1.39), non-Hispanic white race, age 40 - 49 years (RR 2.35, 95% CI 2.08 - 2.66), more severe acute COVID illness, including an ED visit (RR 4.41, 95% CI 3.92 - 4.96), and severe depression (RR 1.69, 95% CI 1.32 - 2.16) were associated with PASC care</w:t>
            </w:r>
            <w:r w:rsidR="3F4026E7" w:rsidRPr="00E17CF6">
              <w:rPr>
                <w:rFonts w:ascii="Cambria" w:hAnsi="Cambria"/>
                <w:color w:val="000000" w:themeColor="text1"/>
              </w:rPr>
              <w:t xml:space="preserve"> </w:t>
            </w:r>
            <w:r w:rsidR="0D7E27E3" w:rsidRPr="00E17CF6">
              <w:rPr>
                <w:rFonts w:ascii="Cambria" w:hAnsi="Cambria"/>
                <w:color w:val="000000" w:themeColor="text1"/>
              </w:rPr>
              <w:t>utilization</w:t>
            </w:r>
            <w:r w:rsidR="129B9280" w:rsidRPr="00E17CF6">
              <w:rPr>
                <w:rFonts w:ascii="Cambria" w:hAnsi="Cambria"/>
                <w:color w:val="000000" w:themeColor="text1"/>
              </w:rPr>
              <w:t>. COVID immunization (RR 0.79, 95% CI 0.72 - 0.85), metformin use among diabetic patients (RR 0.74, 95% CI 0.64 - 0.84), diagnosis during Omicron predominance (RR 0.54, 95% CI 0.49 - 0.60) were associated with less PASC care</w:t>
            </w:r>
            <w:r w:rsidR="18BBDFB6" w:rsidRPr="00E17CF6">
              <w:rPr>
                <w:rFonts w:ascii="Cambria" w:hAnsi="Cambria"/>
                <w:color w:val="000000" w:themeColor="text1"/>
              </w:rPr>
              <w:t xml:space="preserve"> </w:t>
            </w:r>
            <w:r w:rsidR="24200F3E" w:rsidRPr="00E17CF6">
              <w:rPr>
                <w:rFonts w:ascii="Cambria" w:hAnsi="Cambria"/>
                <w:color w:val="000000" w:themeColor="text1"/>
              </w:rPr>
              <w:t>utilization</w:t>
            </w:r>
            <w:r w:rsidR="129B9280" w:rsidRPr="00E17CF6">
              <w:rPr>
                <w:rFonts w:ascii="Cambria" w:hAnsi="Cambria"/>
                <w:color w:val="000000" w:themeColor="text1"/>
              </w:rPr>
              <w:t>.</w:t>
            </w:r>
          </w:p>
          <w:p w14:paraId="550DAC10" w14:textId="77777777" w:rsidR="00A82A1D" w:rsidRPr="00320CAB" w:rsidRDefault="00A82A1D" w:rsidP="00A82A1D">
            <w:pPr>
              <w:rPr>
                <w:rFonts w:ascii="Cambria" w:hAnsi="Cambria" w:cs="Calibri"/>
                <w:color w:val="000000" w:themeColor="text1"/>
              </w:rPr>
            </w:pPr>
          </w:p>
          <w:p w14:paraId="5845A0E4" w14:textId="6DA4BB70" w:rsidR="00A82A1D" w:rsidRPr="00320CAB" w:rsidRDefault="5BA4011D" w:rsidP="00A82A1D">
            <w:pPr>
              <w:rPr>
                <w:rFonts w:ascii="Cambria" w:hAnsi="Cambria" w:cs="Calibri"/>
                <w:b/>
                <w:bCs/>
                <w:color w:val="000000" w:themeColor="text1"/>
                <w:u w:val="single"/>
              </w:rPr>
            </w:pPr>
            <w:r w:rsidRPr="16522FB7">
              <w:rPr>
                <w:rFonts w:ascii="Cambria" w:hAnsi="Cambria" w:cs="Calibri"/>
                <w:b/>
                <w:bCs/>
                <w:color w:val="000000" w:themeColor="text1"/>
                <w:u w:val="single"/>
              </w:rPr>
              <w:t xml:space="preserve">Health Care utilization of PASC patients </w:t>
            </w:r>
          </w:p>
          <w:p w14:paraId="2C1E4CFC" w14:textId="00974F12" w:rsidR="008176A1" w:rsidRPr="00320CAB" w:rsidRDefault="05797B95" w:rsidP="07F94BDE">
            <w:pPr>
              <w:rPr>
                <w:rFonts w:ascii="Cambria" w:hAnsi="Cambria" w:cs="Calibri"/>
                <w:b/>
                <w:bCs/>
                <w:color w:val="000000" w:themeColor="text1"/>
                <w:u w:val="single"/>
              </w:rPr>
            </w:pPr>
            <w:r w:rsidRPr="07F94BDE">
              <w:rPr>
                <w:rFonts w:ascii="Cambria" w:hAnsi="Cambria" w:cs="ƒ0”¶'1"/>
                <w:color w:val="000000" w:themeColor="text1"/>
              </w:rPr>
              <w:t xml:space="preserve">PASC patients had significantly </w:t>
            </w:r>
            <w:r w:rsidR="32354F0F" w:rsidRPr="07F94BDE">
              <w:rPr>
                <w:rFonts w:ascii="Cambria" w:hAnsi="Cambria" w:cs="ƒ0”¶'1"/>
                <w:color w:val="000000" w:themeColor="text1"/>
              </w:rPr>
              <w:t xml:space="preserve">higher </w:t>
            </w:r>
            <w:r w:rsidRPr="07F94BDE">
              <w:rPr>
                <w:rFonts w:ascii="Cambria" w:hAnsi="Cambria" w:cs="ƒ0”¶'1"/>
                <w:color w:val="000000" w:themeColor="text1"/>
              </w:rPr>
              <w:t>baseline and post-</w:t>
            </w:r>
            <w:r w:rsidR="42AA0A2D" w:rsidRPr="07F94BDE">
              <w:rPr>
                <w:rFonts w:ascii="Cambria" w:hAnsi="Cambria" w:cs="ƒ0”¶'1"/>
                <w:color w:val="000000" w:themeColor="text1"/>
              </w:rPr>
              <w:t>PASC-</w:t>
            </w:r>
            <w:r w:rsidRPr="07F94BDE">
              <w:rPr>
                <w:rFonts w:ascii="Cambria" w:hAnsi="Cambria" w:cs="ƒ0”¶'1"/>
                <w:color w:val="000000" w:themeColor="text1"/>
              </w:rPr>
              <w:t xml:space="preserve">diagnosis utilization compared to </w:t>
            </w:r>
            <w:r w:rsidR="1BA4357A" w:rsidRPr="07F94BDE">
              <w:rPr>
                <w:rFonts w:ascii="Cambria" w:hAnsi="Cambria" w:cs="ƒ0”¶'1"/>
                <w:color w:val="000000" w:themeColor="text1"/>
              </w:rPr>
              <w:t xml:space="preserve">non-PASC </w:t>
            </w:r>
            <w:proofErr w:type="gramStart"/>
            <w:r w:rsidRPr="07F94BDE">
              <w:rPr>
                <w:rFonts w:ascii="Cambria" w:hAnsi="Cambria" w:cs="ƒ0”¶'1"/>
                <w:color w:val="000000" w:themeColor="text1"/>
              </w:rPr>
              <w:t>controls</w:t>
            </w:r>
            <w:r w:rsidR="54A36145" w:rsidRPr="07F94BDE">
              <w:rPr>
                <w:rFonts w:ascii="Cambria" w:hAnsi="Cambria" w:cs="ƒ0”¶'1"/>
                <w:color w:val="000000" w:themeColor="text1"/>
              </w:rPr>
              <w:t xml:space="preserve">, </w:t>
            </w:r>
            <w:r w:rsidRPr="07F94BDE">
              <w:rPr>
                <w:rFonts w:ascii="Cambria" w:hAnsi="Cambria" w:cs="ƒ0”¶'1"/>
                <w:color w:val="000000" w:themeColor="text1"/>
              </w:rPr>
              <w:t xml:space="preserve"> </w:t>
            </w:r>
            <w:r w:rsidR="33F94F40" w:rsidRPr="07F94BDE">
              <w:rPr>
                <w:rFonts w:ascii="Cambria" w:hAnsi="Cambria" w:cs="ƒ0”¶'1"/>
                <w:color w:val="000000" w:themeColor="text1"/>
              </w:rPr>
              <w:t>in</w:t>
            </w:r>
            <w:proofErr w:type="gramEnd"/>
            <w:r w:rsidR="33F94F40" w:rsidRPr="07F94BDE">
              <w:rPr>
                <w:rFonts w:ascii="Cambria" w:hAnsi="Cambria" w:cs="ƒ0”¶'1"/>
                <w:color w:val="000000" w:themeColor="text1"/>
              </w:rPr>
              <w:t xml:space="preserve"> </w:t>
            </w:r>
            <w:r w:rsidRPr="07F94BDE">
              <w:rPr>
                <w:rFonts w:ascii="Cambria" w:hAnsi="Cambria" w:cs="ƒ0”¶'1"/>
                <w:color w:val="000000" w:themeColor="text1"/>
              </w:rPr>
              <w:t>all utilization outcomes studied (</w:t>
            </w:r>
            <w:r w:rsidRPr="07F94BDE">
              <w:rPr>
                <w:rFonts w:ascii="Cambria" w:hAnsi="Cambria" w:cs="ƒ0”¶'1"/>
                <w:b/>
                <w:bCs/>
                <w:color w:val="000000" w:themeColor="text1"/>
              </w:rPr>
              <w:t>Figure</w:t>
            </w:r>
            <w:r w:rsidR="00F37C4B">
              <w:rPr>
                <w:rFonts w:ascii="Cambria" w:hAnsi="Cambria" w:cs="ƒ0”¶'1"/>
                <w:b/>
                <w:bCs/>
                <w:color w:val="000000" w:themeColor="text1"/>
              </w:rPr>
              <w:t>s</w:t>
            </w:r>
            <w:r w:rsidRPr="07F94BDE">
              <w:rPr>
                <w:rFonts w:ascii="Cambria" w:hAnsi="Cambria" w:cs="ƒ0”¶'1"/>
                <w:color w:val="000000" w:themeColor="text1"/>
              </w:rPr>
              <w:t xml:space="preserve"> below), with more pronounced differences noted in specialty care testing and referrals for cardiac and pulmonary conditions.</w:t>
            </w:r>
            <w:r w:rsidR="00F76EE4">
              <w:rPr>
                <w:rFonts w:ascii="Cambria" w:hAnsi="Cambria" w:cs="ƒ0”¶'1"/>
                <w:color w:val="000000" w:themeColor="text1"/>
              </w:rPr>
              <w:t xml:space="preserve"> </w:t>
            </w:r>
            <w:r w:rsidRPr="07F94BDE">
              <w:rPr>
                <w:rFonts w:ascii="Cambria" w:hAnsi="Cambria" w:cs="ƒ0”¶'1"/>
                <w:color w:val="000000" w:themeColor="text1"/>
              </w:rPr>
              <w:t xml:space="preserve"> </w:t>
            </w:r>
          </w:p>
          <w:p w14:paraId="0E3867CB" w14:textId="6782D7FD" w:rsidR="008176A1" w:rsidRPr="00320CAB" w:rsidRDefault="00164C0F" w:rsidP="00A82A1D">
            <w:pPr>
              <w:rPr>
                <w:rFonts w:ascii="Cambria" w:hAnsi="Cambria" w:cs="Calibri"/>
                <w:b/>
                <w:bCs/>
                <w:color w:val="000000" w:themeColor="text1"/>
                <w:u w:val="single"/>
              </w:rPr>
            </w:pPr>
            <w:r>
              <w:rPr>
                <w:rFonts w:ascii="Cambria" w:hAnsi="Cambria" w:cs="Calibri"/>
                <w:b/>
                <w:bCs/>
                <w:noProof/>
                <w:color w:val="000000" w:themeColor="text1"/>
                <w:u w:val="single"/>
              </w:rPr>
              <w:lastRenderedPageBreak/>
              <w:drawing>
                <wp:inline distT="0" distB="0" distL="0" distR="0" wp14:anchorId="21A5045E" wp14:editId="79B9ED17">
                  <wp:extent cx="5287224" cy="2985300"/>
                  <wp:effectExtent l="0" t="0" r="0" b="0"/>
                  <wp:docPr id="508011068" name="Picture 3" descr="Chart, line char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011068" name="Picture 3" descr="Chart, line chart&#10;&#10;AI-generated content may b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9814" cy="3037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0F50FD" w14:textId="36CFEF1C" w:rsidR="008176A1" w:rsidRDefault="008176A1" w:rsidP="00A82A1D">
            <w:pPr>
              <w:rPr>
                <w:rFonts w:ascii="Cambria" w:hAnsi="Cambria" w:cs="Calibri"/>
                <w:b/>
                <w:bCs/>
                <w:color w:val="000000" w:themeColor="text1"/>
                <w:u w:val="single"/>
              </w:rPr>
            </w:pPr>
          </w:p>
          <w:p w14:paraId="6FEC91DF" w14:textId="144F1955" w:rsidR="00F37C4B" w:rsidRDefault="00F37C4B" w:rsidP="00A82A1D">
            <w:pPr>
              <w:rPr>
                <w:rFonts w:ascii="Cambria" w:hAnsi="Cambria" w:cs="Calibri"/>
                <w:b/>
                <w:bCs/>
                <w:color w:val="000000" w:themeColor="text1"/>
                <w:u w:val="single"/>
              </w:rPr>
            </w:pPr>
            <w:r>
              <w:rPr>
                <w:rFonts w:ascii="Cambria" w:hAnsi="Cambria" w:cs="Calibri"/>
                <w:b/>
                <w:bCs/>
                <w:noProof/>
                <w:color w:val="000000" w:themeColor="text1"/>
                <w:u w:val="single"/>
              </w:rPr>
              <w:drawing>
                <wp:inline distT="0" distB="0" distL="0" distR="0" wp14:anchorId="398B85BB" wp14:editId="39A13D50">
                  <wp:extent cx="5223849" cy="2938899"/>
                  <wp:effectExtent l="0" t="0" r="0" b="0"/>
                  <wp:docPr id="1146881444" name="Picture 1" descr="Graphical user interface, chart, line char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881444" name="Picture 1" descr="Graphical user interface, chart, line chart&#10;&#10;AI-generated content may b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9" cy="2967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759052" w14:textId="77777777" w:rsidR="00F37C4B" w:rsidRDefault="00F37C4B" w:rsidP="00A82A1D">
            <w:pPr>
              <w:rPr>
                <w:rFonts w:ascii="Cambria" w:hAnsi="Cambria" w:cs="Calibri"/>
                <w:b/>
                <w:bCs/>
                <w:color w:val="000000" w:themeColor="text1"/>
                <w:u w:val="single"/>
              </w:rPr>
            </w:pPr>
          </w:p>
          <w:p w14:paraId="106CC784" w14:textId="5963A9AB" w:rsidR="00F37C4B" w:rsidRDefault="00F37C4B" w:rsidP="00A82A1D">
            <w:pPr>
              <w:rPr>
                <w:rFonts w:ascii="Cambria" w:hAnsi="Cambria" w:cs="Calibri"/>
                <w:b/>
                <w:bCs/>
                <w:color w:val="000000" w:themeColor="text1"/>
                <w:u w:val="single"/>
              </w:rPr>
            </w:pPr>
            <w:r>
              <w:rPr>
                <w:rFonts w:ascii="Cambria" w:hAnsi="Cambria" w:cs="Calibri"/>
                <w:b/>
                <w:bCs/>
                <w:noProof/>
                <w:color w:val="000000" w:themeColor="text1"/>
                <w:u w:val="single"/>
              </w:rPr>
              <w:lastRenderedPageBreak/>
              <w:drawing>
                <wp:inline distT="0" distB="0" distL="0" distR="0" wp14:anchorId="5F70F909" wp14:editId="6214DF62">
                  <wp:extent cx="5524500" cy="3124923"/>
                  <wp:effectExtent l="0" t="0" r="0" b="0"/>
                  <wp:docPr id="1604160019" name="Picture 2" descr="Chart, line char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160019" name="Picture 2" descr="Chart, line chart&#10;&#10;AI-generated content may b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4380" cy="3153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A22A22" w14:textId="77777777" w:rsidR="00F37C4B" w:rsidRPr="00320CAB" w:rsidRDefault="00F37C4B" w:rsidP="00A82A1D">
            <w:pPr>
              <w:rPr>
                <w:rFonts w:ascii="Cambria" w:hAnsi="Cambria" w:cs="Calibri"/>
                <w:b/>
                <w:bCs/>
                <w:color w:val="000000" w:themeColor="text1"/>
                <w:u w:val="single"/>
              </w:rPr>
            </w:pPr>
          </w:p>
          <w:p w14:paraId="3CD35CB0" w14:textId="4A258965" w:rsidR="008176A1" w:rsidRPr="00320CAB" w:rsidRDefault="008176A1" w:rsidP="00A82A1D">
            <w:pPr>
              <w:rPr>
                <w:rFonts w:ascii="Cambria" w:hAnsi="Cambria" w:cs="Calibri"/>
                <w:b/>
                <w:bCs/>
                <w:color w:val="000000" w:themeColor="text1"/>
                <w:u w:val="single"/>
              </w:rPr>
            </w:pPr>
          </w:p>
        </w:tc>
      </w:tr>
      <w:tr w:rsidR="00164C0F" w:rsidRPr="00320CAB" w14:paraId="62542513" w14:textId="77777777" w:rsidTr="001537E6">
        <w:trPr>
          <w:gridAfter w:val="1"/>
          <w:wAfter w:w="70" w:type="dxa"/>
          <w:trHeight w:val="816"/>
        </w:trPr>
        <w:tc>
          <w:tcPr>
            <w:tcW w:w="1970" w:type="dxa"/>
          </w:tcPr>
          <w:p w14:paraId="38755ADC" w14:textId="77777777" w:rsidR="0048655A" w:rsidRPr="00320CAB" w:rsidRDefault="0048655A" w:rsidP="0048655A">
            <w:pPr>
              <w:spacing w:line="259" w:lineRule="auto"/>
              <w:rPr>
                <w:rFonts w:ascii="Cambria" w:hAnsi="Cambria"/>
                <w:b/>
                <w:bCs/>
                <w:color w:val="000000" w:themeColor="text1"/>
              </w:rPr>
            </w:pPr>
            <w:r w:rsidRPr="00320CAB">
              <w:rPr>
                <w:rFonts w:ascii="Cambria" w:hAnsi="Cambria"/>
                <w:b/>
                <w:bCs/>
                <w:color w:val="000000" w:themeColor="text1"/>
              </w:rPr>
              <w:lastRenderedPageBreak/>
              <w:t>Resulting Action/Change</w:t>
            </w:r>
          </w:p>
        </w:tc>
        <w:tc>
          <w:tcPr>
            <w:tcW w:w="8863" w:type="dxa"/>
            <w:gridSpan w:val="2"/>
          </w:tcPr>
          <w:p w14:paraId="4AF6BBC6" w14:textId="5493DB8D" w:rsidR="00320CAB" w:rsidRPr="00057A79" w:rsidRDefault="39B4399B" w:rsidP="00057A79">
            <w:pPr>
              <w:rPr>
                <w:rFonts w:ascii="Cambria" w:hAnsi="Cambria"/>
                <w:color w:val="000000" w:themeColor="text1"/>
              </w:rPr>
            </w:pPr>
            <w:r w:rsidRPr="00057A79">
              <w:rPr>
                <w:rFonts w:ascii="Cambria" w:hAnsi="Cambria"/>
                <w:color w:val="000000" w:themeColor="text1"/>
              </w:rPr>
              <w:t>PASC clinical care leaders have focused on e</w:t>
            </w:r>
            <w:r w:rsidR="47132B40" w:rsidRPr="00057A79">
              <w:rPr>
                <w:rFonts w:ascii="Cambria" w:hAnsi="Cambria"/>
                <w:color w:val="000000" w:themeColor="text1"/>
              </w:rPr>
              <w:t>arly diagnosis and capture/sorting of patient</w:t>
            </w:r>
            <w:r w:rsidRPr="00057A79">
              <w:rPr>
                <w:rFonts w:ascii="Cambria" w:hAnsi="Cambria"/>
                <w:color w:val="000000" w:themeColor="text1"/>
              </w:rPr>
              <w:t xml:space="preserve">s </w:t>
            </w:r>
            <w:proofErr w:type="gramStart"/>
            <w:r w:rsidRPr="00057A79">
              <w:rPr>
                <w:rFonts w:ascii="Cambria" w:hAnsi="Cambria"/>
                <w:color w:val="000000" w:themeColor="text1"/>
              </w:rPr>
              <w:t>in order to</w:t>
            </w:r>
            <w:proofErr w:type="gramEnd"/>
            <w:r w:rsidRPr="00057A79">
              <w:rPr>
                <w:rFonts w:ascii="Cambria" w:hAnsi="Cambria"/>
                <w:color w:val="000000" w:themeColor="text1"/>
              </w:rPr>
              <w:t xml:space="preserve"> maximize multidisciplinary interventions and mitigate long-term chronic health needs. </w:t>
            </w:r>
            <w:r w:rsidR="3596868F" w:rsidRPr="00057A79">
              <w:rPr>
                <w:rFonts w:ascii="Cambria" w:hAnsi="Cambria"/>
                <w:color w:val="000000" w:themeColor="text1"/>
              </w:rPr>
              <w:t>Our work helped inform the refinement of the KPNC PASC clinical guidance document</w:t>
            </w:r>
            <w:r w:rsidR="79F73A07" w:rsidRPr="00057A79">
              <w:rPr>
                <w:rFonts w:ascii="Cambria" w:hAnsi="Cambria"/>
                <w:color w:val="000000" w:themeColor="text1"/>
              </w:rPr>
              <w:t>.</w:t>
            </w:r>
          </w:p>
          <w:p w14:paraId="092B6F29" w14:textId="462889C9" w:rsidR="00C41DB3" w:rsidRPr="00057A79" w:rsidRDefault="00C41DB3" w:rsidP="00057A79">
            <w:pPr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</w:tr>
      <w:tr w:rsidR="00164C0F" w:rsidRPr="00320CAB" w14:paraId="57800790" w14:textId="77777777" w:rsidTr="001537E6">
        <w:trPr>
          <w:gridAfter w:val="1"/>
          <w:wAfter w:w="70" w:type="dxa"/>
          <w:trHeight w:val="816"/>
        </w:trPr>
        <w:tc>
          <w:tcPr>
            <w:tcW w:w="1970" w:type="dxa"/>
          </w:tcPr>
          <w:p w14:paraId="6C4E04AC" w14:textId="161310DB" w:rsidR="00CB0455" w:rsidRPr="00320CAB" w:rsidRDefault="00CB0455" w:rsidP="00D37B8C">
            <w:pPr>
              <w:ind w:right="-135"/>
              <w:rPr>
                <w:rFonts w:ascii="Cambria" w:hAnsi="Cambria"/>
                <w:color w:val="000000" w:themeColor="text1"/>
              </w:rPr>
            </w:pPr>
            <w:r w:rsidRPr="00320CAB">
              <w:rPr>
                <w:rFonts w:ascii="Cambria" w:hAnsi="Cambria"/>
                <w:color w:val="000000" w:themeColor="text1"/>
              </w:rPr>
              <w:t>Additional Recommendations</w:t>
            </w:r>
          </w:p>
        </w:tc>
        <w:tc>
          <w:tcPr>
            <w:tcW w:w="8863" w:type="dxa"/>
            <w:gridSpan w:val="2"/>
          </w:tcPr>
          <w:p w14:paraId="02544937" w14:textId="77777777" w:rsidR="00057A79" w:rsidRPr="00057A79" w:rsidRDefault="00057A79" w:rsidP="00057A79">
            <w:pPr>
              <w:rPr>
                <w:rFonts w:ascii="Cambria" w:hAnsi="Cambria"/>
                <w:b/>
                <w:bCs/>
                <w:color w:val="000000" w:themeColor="text1"/>
              </w:rPr>
            </w:pPr>
            <w:r w:rsidRPr="00057A79">
              <w:rPr>
                <w:rFonts w:ascii="Cambria" w:hAnsi="Cambria"/>
                <w:color w:val="000000" w:themeColor="text1"/>
              </w:rPr>
              <w:t>Our results can serve as a case study for better organization of primary care for conditions such as PASC that are challenging to manage and resource-intensive. Future discussions with AFM leadership are pending to discuss how to actualize such clinical clusters of expertise within AFM.</w:t>
            </w:r>
            <w:r w:rsidRPr="00057A79">
              <w:rPr>
                <w:rFonts w:ascii="Cambria" w:hAnsi="Cambria"/>
                <w:b/>
                <w:bCs/>
                <w:color w:val="000000" w:themeColor="text1"/>
              </w:rPr>
              <w:t xml:space="preserve"> </w:t>
            </w:r>
          </w:p>
          <w:p w14:paraId="08163871" w14:textId="0E9196D6" w:rsidR="00CB0455" w:rsidRPr="00320CAB" w:rsidRDefault="00CB0455" w:rsidP="0048655A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164C0F" w:rsidRPr="00320CAB" w14:paraId="21F6FB6D" w14:textId="77777777" w:rsidTr="001537E6">
        <w:trPr>
          <w:gridAfter w:val="1"/>
          <w:wAfter w:w="70" w:type="dxa"/>
          <w:trHeight w:val="552"/>
        </w:trPr>
        <w:tc>
          <w:tcPr>
            <w:tcW w:w="1970" w:type="dxa"/>
          </w:tcPr>
          <w:p w14:paraId="511F380C" w14:textId="77777777" w:rsidR="0048655A" w:rsidRPr="00320CAB" w:rsidRDefault="0048655A" w:rsidP="0048655A">
            <w:pPr>
              <w:spacing w:line="259" w:lineRule="auto"/>
              <w:rPr>
                <w:rFonts w:ascii="Cambria" w:hAnsi="Cambria"/>
                <w:color w:val="000000" w:themeColor="text1"/>
              </w:rPr>
            </w:pPr>
            <w:r w:rsidRPr="00320CAB">
              <w:rPr>
                <w:rFonts w:ascii="Cambria" w:hAnsi="Cambria"/>
                <w:color w:val="000000" w:themeColor="text1"/>
              </w:rPr>
              <w:t>Implementation Tools</w:t>
            </w:r>
            <w:r w:rsidRPr="00320CAB">
              <w:rPr>
                <w:rFonts w:ascii="Cambria" w:hAnsi="Cambria"/>
                <w:color w:val="000000" w:themeColor="text1"/>
              </w:rPr>
              <w:tab/>
            </w:r>
          </w:p>
        </w:tc>
        <w:tc>
          <w:tcPr>
            <w:tcW w:w="8863" w:type="dxa"/>
            <w:gridSpan w:val="2"/>
          </w:tcPr>
          <w:p w14:paraId="35B5FEA6" w14:textId="707D4DF9" w:rsidR="00320CAB" w:rsidRPr="00C41DB3" w:rsidRDefault="72EBC601" w:rsidP="00C41DB3">
            <w:pPr>
              <w:spacing w:line="259" w:lineRule="auto"/>
              <w:ind w:left="31"/>
              <w:rPr>
                <w:rFonts w:ascii="Cambria" w:hAnsi="Cambria"/>
                <w:color w:val="000000" w:themeColor="text1"/>
              </w:rPr>
            </w:pPr>
            <w:r w:rsidRPr="00C41DB3">
              <w:rPr>
                <w:rFonts w:ascii="Cambria" w:hAnsi="Cambria"/>
                <w:color w:val="000000" w:themeColor="text1"/>
              </w:rPr>
              <w:t xml:space="preserve">Development of </w:t>
            </w:r>
            <w:r w:rsidR="001B7ED3" w:rsidRPr="00C41DB3">
              <w:rPr>
                <w:rFonts w:ascii="Cambria" w:hAnsi="Cambria"/>
                <w:color w:val="000000" w:themeColor="text1"/>
              </w:rPr>
              <w:t xml:space="preserve">a </w:t>
            </w:r>
            <w:r w:rsidRPr="00C41DB3">
              <w:rPr>
                <w:rFonts w:ascii="Cambria" w:hAnsi="Cambria"/>
                <w:color w:val="000000" w:themeColor="text1"/>
              </w:rPr>
              <w:t>cohort definition</w:t>
            </w:r>
            <w:r w:rsidR="001B7ED3" w:rsidRPr="00C41DB3">
              <w:rPr>
                <w:rFonts w:ascii="Cambria" w:hAnsi="Cambria"/>
                <w:color w:val="000000" w:themeColor="text1"/>
              </w:rPr>
              <w:t xml:space="preserve"> for PASC in KPNC</w:t>
            </w:r>
          </w:p>
        </w:tc>
      </w:tr>
      <w:tr w:rsidR="00164C0F" w:rsidRPr="00320CAB" w14:paraId="02D4678D" w14:textId="77777777" w:rsidTr="001537E6">
        <w:trPr>
          <w:gridAfter w:val="1"/>
          <w:wAfter w:w="70" w:type="dxa"/>
          <w:trHeight w:val="552"/>
        </w:trPr>
        <w:tc>
          <w:tcPr>
            <w:tcW w:w="1970" w:type="dxa"/>
          </w:tcPr>
          <w:p w14:paraId="1B184543" w14:textId="77777777" w:rsidR="0048655A" w:rsidRPr="00320CAB" w:rsidRDefault="0048655A" w:rsidP="0048655A">
            <w:pPr>
              <w:spacing w:line="259" w:lineRule="auto"/>
              <w:rPr>
                <w:rFonts w:ascii="Cambria" w:hAnsi="Cambria"/>
                <w:color w:val="000000" w:themeColor="text1"/>
              </w:rPr>
            </w:pPr>
            <w:r w:rsidRPr="00320CAB">
              <w:rPr>
                <w:rFonts w:ascii="Cambria" w:hAnsi="Cambria"/>
                <w:color w:val="000000" w:themeColor="text1"/>
              </w:rPr>
              <w:t>Implementation Measurement</w:t>
            </w:r>
          </w:p>
        </w:tc>
        <w:tc>
          <w:tcPr>
            <w:tcW w:w="8863" w:type="dxa"/>
            <w:gridSpan w:val="2"/>
          </w:tcPr>
          <w:p w14:paraId="667A9187" w14:textId="77777777" w:rsidR="0048655A" w:rsidRDefault="00A6730C" w:rsidP="0048655A">
            <w:pPr>
              <w:spacing w:line="259" w:lineRule="auto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Utilization codes have been organized by clinical domain and specialty and are available for use in tracking future trends in utilization amongst PASC patients or other populations. </w:t>
            </w:r>
          </w:p>
          <w:p w14:paraId="0D25EBD1" w14:textId="5D3BEBB2" w:rsidR="00C41DB3" w:rsidRPr="00320CAB" w:rsidRDefault="00C41DB3" w:rsidP="0048655A">
            <w:pPr>
              <w:spacing w:line="259" w:lineRule="auto"/>
              <w:rPr>
                <w:rFonts w:ascii="Cambria" w:hAnsi="Cambria"/>
                <w:color w:val="000000" w:themeColor="text1"/>
              </w:rPr>
            </w:pPr>
          </w:p>
        </w:tc>
      </w:tr>
      <w:tr w:rsidR="00164C0F" w:rsidRPr="00320CAB" w14:paraId="66558595" w14:textId="77777777" w:rsidTr="001537E6">
        <w:trPr>
          <w:gridAfter w:val="1"/>
          <w:wAfter w:w="70" w:type="dxa"/>
          <w:trHeight w:val="538"/>
        </w:trPr>
        <w:tc>
          <w:tcPr>
            <w:tcW w:w="1970" w:type="dxa"/>
          </w:tcPr>
          <w:p w14:paraId="29954FA9" w14:textId="77777777" w:rsidR="0048655A" w:rsidRPr="00320CAB" w:rsidRDefault="0048655A" w:rsidP="0048655A">
            <w:pPr>
              <w:spacing w:line="259" w:lineRule="auto"/>
              <w:rPr>
                <w:rFonts w:ascii="Cambria" w:hAnsi="Cambria"/>
                <w:color w:val="000000" w:themeColor="text1"/>
              </w:rPr>
            </w:pPr>
            <w:r w:rsidRPr="00320CAB">
              <w:rPr>
                <w:rFonts w:ascii="Cambria" w:hAnsi="Cambria"/>
                <w:color w:val="000000" w:themeColor="text1"/>
              </w:rPr>
              <w:t>Reference</w:t>
            </w:r>
          </w:p>
        </w:tc>
        <w:tc>
          <w:tcPr>
            <w:tcW w:w="8863" w:type="dxa"/>
            <w:gridSpan w:val="2"/>
          </w:tcPr>
          <w:p w14:paraId="1E4F113B" w14:textId="313E928A" w:rsidR="00F41EDD" w:rsidRDefault="00926E40" w:rsidP="00F41EDD">
            <w:pPr>
              <w:spacing w:line="259" w:lineRule="auto"/>
              <w:rPr>
                <w:rFonts w:ascii="Cambria" w:hAnsi="Cambria" w:cs="Calibri"/>
                <w:color w:val="000000" w:themeColor="text1"/>
              </w:rPr>
            </w:pPr>
            <w:hyperlink r:id="rId11" w:history="1">
              <w:r w:rsidRPr="000A741E">
                <w:rPr>
                  <w:rStyle w:val="Hyperlink"/>
                  <w:rFonts w:ascii="Cambria" w:hAnsi="Cambria" w:cs="Calibri"/>
                </w:rPr>
                <w:t>https://onlinelibrary.wiley.com/doi/10.1111/joim.13760</w:t>
              </w:r>
            </w:hyperlink>
          </w:p>
          <w:p w14:paraId="4A098663" w14:textId="77777777" w:rsidR="00B3263E" w:rsidRPr="00B3263E" w:rsidRDefault="00B3263E" w:rsidP="00B3263E">
            <w:pPr>
              <w:rPr>
                <w:rFonts w:ascii="Cambria" w:hAnsi="Cambria" w:cs="Calibri"/>
                <w:color w:val="000000" w:themeColor="text1"/>
              </w:rPr>
            </w:pPr>
            <w:r w:rsidRPr="00B3263E">
              <w:rPr>
                <w:rFonts w:ascii="Cambria" w:hAnsi="Cambria" w:cs="Calibri"/>
                <w:color w:val="000000" w:themeColor="text1"/>
              </w:rPr>
              <w:t xml:space="preserve">Durant EJ, Warton M, Skarbinski J, Siqueiros MH, </w:t>
            </w:r>
            <w:proofErr w:type="spellStart"/>
            <w:r w:rsidRPr="00B3263E">
              <w:rPr>
                <w:rFonts w:ascii="Cambria" w:hAnsi="Cambria" w:cs="Calibri"/>
                <w:color w:val="000000" w:themeColor="text1"/>
              </w:rPr>
              <w:t>Cholleti</w:t>
            </w:r>
            <w:proofErr w:type="spellEnd"/>
            <w:r w:rsidRPr="00B3263E">
              <w:rPr>
                <w:rFonts w:ascii="Cambria" w:hAnsi="Cambria" w:cs="Calibri"/>
                <w:color w:val="000000" w:themeColor="text1"/>
              </w:rPr>
              <w:t xml:space="preserve"> SM, Vinson DR, Mark DG, DiLena DD, Rauchwerger AS, Reed ME, Ballard DW. </w:t>
            </w:r>
            <w:r w:rsidRPr="00B3263E">
              <w:rPr>
                <w:rFonts w:ascii="Cambria" w:hAnsi="Cambria" w:cs="Calibri"/>
                <w:b/>
                <w:bCs/>
                <w:color w:val="000000" w:themeColor="text1"/>
              </w:rPr>
              <w:t>Predictors of Health Care Utilization in Patients with Long COVID</w:t>
            </w:r>
            <w:r w:rsidRPr="00B3263E">
              <w:rPr>
                <w:rFonts w:ascii="Cambria" w:hAnsi="Cambria" w:cs="Calibri"/>
                <w:color w:val="000000" w:themeColor="text1"/>
              </w:rPr>
              <w:t xml:space="preserve">. </w:t>
            </w:r>
            <w:r w:rsidRPr="00B3263E">
              <w:rPr>
                <w:rFonts w:ascii="Cambria" w:hAnsi="Cambria" w:cs="Calibri"/>
                <w:i/>
                <w:iCs/>
                <w:color w:val="000000" w:themeColor="text1"/>
              </w:rPr>
              <w:t>Undergoing peer review.</w:t>
            </w:r>
          </w:p>
          <w:p w14:paraId="4AF592B2" w14:textId="6A7567FE" w:rsidR="00B3263E" w:rsidRDefault="00B3263E" w:rsidP="00B3263E">
            <w:pPr>
              <w:spacing w:line="259" w:lineRule="auto"/>
              <w:rPr>
                <w:rFonts w:ascii="Cambria" w:hAnsi="Cambria" w:cs="Calibri"/>
                <w:color w:val="000000" w:themeColor="text1"/>
              </w:rPr>
            </w:pPr>
            <w:r w:rsidRPr="3FCD6952">
              <w:rPr>
                <w:rFonts w:ascii="Cambria" w:hAnsi="Cambria" w:cs="Calibri"/>
                <w:color w:val="000000" w:themeColor="text1"/>
              </w:rPr>
              <w:t xml:space="preserve">Ballard DW, et al. </w:t>
            </w:r>
            <w:r w:rsidRPr="3FCD6952">
              <w:rPr>
                <w:rFonts w:ascii="Cambria" w:hAnsi="Cambria" w:cs="Calibri"/>
                <w:b/>
                <w:bCs/>
                <w:color w:val="000000" w:themeColor="text1"/>
              </w:rPr>
              <w:t>The Long Tail of Long COVID: Characterizing PASC Associated Health Care Utilization</w:t>
            </w:r>
            <w:r w:rsidRPr="3FCD6952">
              <w:rPr>
                <w:rFonts w:ascii="Cambria" w:hAnsi="Cambria" w:cs="Calibri"/>
                <w:color w:val="000000" w:themeColor="text1"/>
              </w:rPr>
              <w:t xml:space="preserve">. </w:t>
            </w:r>
            <w:r w:rsidRPr="3FCD6952">
              <w:rPr>
                <w:rFonts w:ascii="Cambria" w:hAnsi="Cambria" w:cs="Calibri"/>
                <w:i/>
                <w:iCs/>
                <w:color w:val="000000" w:themeColor="text1"/>
              </w:rPr>
              <w:t>Submission pending.</w:t>
            </w:r>
            <w:r w:rsidRPr="3FCD6952">
              <w:rPr>
                <w:rFonts w:ascii="Cambria" w:hAnsi="Cambria" w:cs="Calibri"/>
                <w:color w:val="000000" w:themeColor="text1"/>
              </w:rPr>
              <w:t xml:space="preserve">  </w:t>
            </w:r>
          </w:p>
          <w:p w14:paraId="722DE921" w14:textId="5463EEA3" w:rsidR="00926E40" w:rsidRPr="001537E6" w:rsidRDefault="00926E40" w:rsidP="00F41EDD">
            <w:pPr>
              <w:spacing w:line="259" w:lineRule="auto"/>
              <w:rPr>
                <w:rFonts w:ascii="Cambria" w:hAnsi="Cambria"/>
                <w:color w:val="000000" w:themeColor="text1"/>
                <w:highlight w:val="yellow"/>
              </w:rPr>
            </w:pPr>
          </w:p>
        </w:tc>
      </w:tr>
      <w:bookmarkEnd w:id="0"/>
    </w:tbl>
    <w:p w14:paraId="62800767" w14:textId="77777777" w:rsidR="00FE6194" w:rsidRPr="00320CAB" w:rsidRDefault="00FE6194" w:rsidP="00C73A94">
      <w:pPr>
        <w:spacing w:after="0"/>
        <w:rPr>
          <w:rFonts w:ascii="Cambria" w:hAnsi="Cambria"/>
          <w:color w:val="000000" w:themeColor="text1"/>
        </w:rPr>
      </w:pPr>
    </w:p>
    <w:sectPr w:rsidR="00FE6194" w:rsidRPr="00320CAB" w:rsidSect="00D245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__1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ƒ0”¶'1">
    <w:altName w:val="Calibri"/>
    <w:charset w:val="4D"/>
    <w:family w:val="auto"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5627A"/>
    <w:multiLevelType w:val="hybridMultilevel"/>
    <w:tmpl w:val="FFFFFFFF"/>
    <w:lvl w:ilvl="0" w:tplc="32648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E42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EC9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C2E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B4FD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9E5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12A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6F9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065E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75298"/>
    <w:multiLevelType w:val="hybridMultilevel"/>
    <w:tmpl w:val="93D6F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4216B"/>
    <w:multiLevelType w:val="hybridMultilevel"/>
    <w:tmpl w:val="6C765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95A4E"/>
    <w:multiLevelType w:val="hybridMultilevel"/>
    <w:tmpl w:val="E190D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741E4"/>
    <w:multiLevelType w:val="hybridMultilevel"/>
    <w:tmpl w:val="FF585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86715"/>
    <w:multiLevelType w:val="hybridMultilevel"/>
    <w:tmpl w:val="FFFFFFFF"/>
    <w:lvl w:ilvl="0" w:tplc="DB68BD16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6F06CB3A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F40C0622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A1FCF1C2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5512014C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2DD0D804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9E70A8FA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88A988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6E6EDC4C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4BE56184"/>
    <w:multiLevelType w:val="hybridMultilevel"/>
    <w:tmpl w:val="916A2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D0BEF"/>
    <w:multiLevelType w:val="hybridMultilevel"/>
    <w:tmpl w:val="1F648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C568E"/>
    <w:multiLevelType w:val="hybridMultilevel"/>
    <w:tmpl w:val="9340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55843"/>
    <w:multiLevelType w:val="hybridMultilevel"/>
    <w:tmpl w:val="101A04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43A1720"/>
    <w:multiLevelType w:val="hybridMultilevel"/>
    <w:tmpl w:val="AB927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81989">
    <w:abstractNumId w:val="5"/>
  </w:num>
  <w:num w:numId="2" w16cid:durableId="855268389">
    <w:abstractNumId w:val="0"/>
  </w:num>
  <w:num w:numId="3" w16cid:durableId="1485971695">
    <w:abstractNumId w:val="7"/>
  </w:num>
  <w:num w:numId="4" w16cid:durableId="309019274">
    <w:abstractNumId w:val="2"/>
  </w:num>
  <w:num w:numId="5" w16cid:durableId="12968399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4461189">
    <w:abstractNumId w:val="10"/>
  </w:num>
  <w:num w:numId="7" w16cid:durableId="190732760">
    <w:abstractNumId w:val="1"/>
  </w:num>
  <w:num w:numId="8" w16cid:durableId="67581333">
    <w:abstractNumId w:val="3"/>
  </w:num>
  <w:num w:numId="9" w16cid:durableId="31924076">
    <w:abstractNumId w:val="6"/>
  </w:num>
  <w:num w:numId="10" w16cid:durableId="452943231">
    <w:abstractNumId w:val="4"/>
  </w:num>
  <w:num w:numId="11" w16cid:durableId="959063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90"/>
    <w:rsid w:val="000002B6"/>
    <w:rsid w:val="00020298"/>
    <w:rsid w:val="00033069"/>
    <w:rsid w:val="00040BAC"/>
    <w:rsid w:val="00057A79"/>
    <w:rsid w:val="00066DC9"/>
    <w:rsid w:val="000811DB"/>
    <w:rsid w:val="00092644"/>
    <w:rsid w:val="000D6549"/>
    <w:rsid w:val="00120782"/>
    <w:rsid w:val="0012A563"/>
    <w:rsid w:val="001367C3"/>
    <w:rsid w:val="001537E6"/>
    <w:rsid w:val="00164C0F"/>
    <w:rsid w:val="0016516B"/>
    <w:rsid w:val="00170981"/>
    <w:rsid w:val="001712BA"/>
    <w:rsid w:val="001823A7"/>
    <w:rsid w:val="00197A5D"/>
    <w:rsid w:val="001A22BD"/>
    <w:rsid w:val="001A3475"/>
    <w:rsid w:val="001A7065"/>
    <w:rsid w:val="001B7ED3"/>
    <w:rsid w:val="001C7A5A"/>
    <w:rsid w:val="001D52BB"/>
    <w:rsid w:val="001D60DF"/>
    <w:rsid w:val="001E0C18"/>
    <w:rsid w:val="001E348B"/>
    <w:rsid w:val="00204421"/>
    <w:rsid w:val="00245565"/>
    <w:rsid w:val="00260C54"/>
    <w:rsid w:val="00266FE0"/>
    <w:rsid w:val="00271561"/>
    <w:rsid w:val="00290664"/>
    <w:rsid w:val="002A12FA"/>
    <w:rsid w:val="002A1A00"/>
    <w:rsid w:val="002A6E74"/>
    <w:rsid w:val="002B49C4"/>
    <w:rsid w:val="002C57E2"/>
    <w:rsid w:val="002E2FFE"/>
    <w:rsid w:val="002F3076"/>
    <w:rsid w:val="0031051B"/>
    <w:rsid w:val="00320CAB"/>
    <w:rsid w:val="00343DA6"/>
    <w:rsid w:val="00367913"/>
    <w:rsid w:val="00383001"/>
    <w:rsid w:val="003D755D"/>
    <w:rsid w:val="003E27D1"/>
    <w:rsid w:val="003E34C5"/>
    <w:rsid w:val="004156A7"/>
    <w:rsid w:val="00426243"/>
    <w:rsid w:val="004400F9"/>
    <w:rsid w:val="00462B4F"/>
    <w:rsid w:val="0048655A"/>
    <w:rsid w:val="004A1746"/>
    <w:rsid w:val="004C7C55"/>
    <w:rsid w:val="004F4C42"/>
    <w:rsid w:val="00514319"/>
    <w:rsid w:val="00541AFF"/>
    <w:rsid w:val="00571729"/>
    <w:rsid w:val="00576C4B"/>
    <w:rsid w:val="005F306B"/>
    <w:rsid w:val="005F46AB"/>
    <w:rsid w:val="006079E9"/>
    <w:rsid w:val="0065108E"/>
    <w:rsid w:val="006839B6"/>
    <w:rsid w:val="00692D6A"/>
    <w:rsid w:val="006B3A9A"/>
    <w:rsid w:val="006D32D2"/>
    <w:rsid w:val="006D37D9"/>
    <w:rsid w:val="0072563B"/>
    <w:rsid w:val="00755505"/>
    <w:rsid w:val="00774802"/>
    <w:rsid w:val="00777238"/>
    <w:rsid w:val="007914BF"/>
    <w:rsid w:val="00794C89"/>
    <w:rsid w:val="007A35F6"/>
    <w:rsid w:val="007E0706"/>
    <w:rsid w:val="007F0339"/>
    <w:rsid w:val="008046A3"/>
    <w:rsid w:val="0080740C"/>
    <w:rsid w:val="00810605"/>
    <w:rsid w:val="008131C8"/>
    <w:rsid w:val="008141E5"/>
    <w:rsid w:val="008176A1"/>
    <w:rsid w:val="008202FB"/>
    <w:rsid w:val="0084430C"/>
    <w:rsid w:val="00844C7B"/>
    <w:rsid w:val="00871F97"/>
    <w:rsid w:val="008A6742"/>
    <w:rsid w:val="008A7C90"/>
    <w:rsid w:val="008D6E4B"/>
    <w:rsid w:val="008E0A17"/>
    <w:rsid w:val="008E6D2C"/>
    <w:rsid w:val="008F012B"/>
    <w:rsid w:val="008F48FA"/>
    <w:rsid w:val="009001F2"/>
    <w:rsid w:val="00903B8C"/>
    <w:rsid w:val="00926E40"/>
    <w:rsid w:val="00933309"/>
    <w:rsid w:val="009350EE"/>
    <w:rsid w:val="009806D1"/>
    <w:rsid w:val="009A630A"/>
    <w:rsid w:val="009B023D"/>
    <w:rsid w:val="009C271C"/>
    <w:rsid w:val="009D5243"/>
    <w:rsid w:val="00A041D1"/>
    <w:rsid w:val="00A050A3"/>
    <w:rsid w:val="00A16BB1"/>
    <w:rsid w:val="00A654D0"/>
    <w:rsid w:val="00A6730C"/>
    <w:rsid w:val="00A82A1D"/>
    <w:rsid w:val="00A8384C"/>
    <w:rsid w:val="00AA1A90"/>
    <w:rsid w:val="00AB037A"/>
    <w:rsid w:val="00AB2823"/>
    <w:rsid w:val="00B13B76"/>
    <w:rsid w:val="00B2497D"/>
    <w:rsid w:val="00B264CF"/>
    <w:rsid w:val="00B3263E"/>
    <w:rsid w:val="00B65625"/>
    <w:rsid w:val="00B97683"/>
    <w:rsid w:val="00BA1DF7"/>
    <w:rsid w:val="00BA2786"/>
    <w:rsid w:val="00BA5C00"/>
    <w:rsid w:val="00C06B8D"/>
    <w:rsid w:val="00C3487D"/>
    <w:rsid w:val="00C4025A"/>
    <w:rsid w:val="00C40DE3"/>
    <w:rsid w:val="00C41DB3"/>
    <w:rsid w:val="00C57DC8"/>
    <w:rsid w:val="00C72BED"/>
    <w:rsid w:val="00C73A94"/>
    <w:rsid w:val="00C86E78"/>
    <w:rsid w:val="00C94BCA"/>
    <w:rsid w:val="00CA16D7"/>
    <w:rsid w:val="00CB0455"/>
    <w:rsid w:val="00CF4301"/>
    <w:rsid w:val="00D003F1"/>
    <w:rsid w:val="00D24534"/>
    <w:rsid w:val="00D37B8C"/>
    <w:rsid w:val="00D54C86"/>
    <w:rsid w:val="00D876AA"/>
    <w:rsid w:val="00DA115E"/>
    <w:rsid w:val="00DA4012"/>
    <w:rsid w:val="00DDF44F"/>
    <w:rsid w:val="00DE4338"/>
    <w:rsid w:val="00E0103F"/>
    <w:rsid w:val="00E077A2"/>
    <w:rsid w:val="00E17CF6"/>
    <w:rsid w:val="00E352D3"/>
    <w:rsid w:val="00E45584"/>
    <w:rsid w:val="00E62270"/>
    <w:rsid w:val="00E8740F"/>
    <w:rsid w:val="00EB0401"/>
    <w:rsid w:val="00EF635D"/>
    <w:rsid w:val="00EF6EE1"/>
    <w:rsid w:val="00F13DF0"/>
    <w:rsid w:val="00F204A7"/>
    <w:rsid w:val="00F37C4B"/>
    <w:rsid w:val="00F37D92"/>
    <w:rsid w:val="00F41EDD"/>
    <w:rsid w:val="00F76EE4"/>
    <w:rsid w:val="00F91EB4"/>
    <w:rsid w:val="00F94D4F"/>
    <w:rsid w:val="00F97A41"/>
    <w:rsid w:val="00FE6194"/>
    <w:rsid w:val="00FE778C"/>
    <w:rsid w:val="0118C84B"/>
    <w:rsid w:val="012D9774"/>
    <w:rsid w:val="025B33ED"/>
    <w:rsid w:val="028B9123"/>
    <w:rsid w:val="03CDA0A8"/>
    <w:rsid w:val="048ED2B1"/>
    <w:rsid w:val="04AE734F"/>
    <w:rsid w:val="056169C1"/>
    <w:rsid w:val="05797B95"/>
    <w:rsid w:val="068CF591"/>
    <w:rsid w:val="076BBA5F"/>
    <w:rsid w:val="07F94BDE"/>
    <w:rsid w:val="07FFA432"/>
    <w:rsid w:val="08405004"/>
    <w:rsid w:val="08D463E3"/>
    <w:rsid w:val="095B96C8"/>
    <w:rsid w:val="09ABDB0E"/>
    <w:rsid w:val="0A037A23"/>
    <w:rsid w:val="0AE6647B"/>
    <w:rsid w:val="0B2A8905"/>
    <w:rsid w:val="0B4BE6C0"/>
    <w:rsid w:val="0C200FEA"/>
    <w:rsid w:val="0CDC52B8"/>
    <w:rsid w:val="0D6573FA"/>
    <w:rsid w:val="0D7E27E3"/>
    <w:rsid w:val="0D892C44"/>
    <w:rsid w:val="0D8A2204"/>
    <w:rsid w:val="0EE5268C"/>
    <w:rsid w:val="0F6C665C"/>
    <w:rsid w:val="103C117E"/>
    <w:rsid w:val="1175DD16"/>
    <w:rsid w:val="11790729"/>
    <w:rsid w:val="11C6F5C0"/>
    <w:rsid w:val="129B9280"/>
    <w:rsid w:val="131FE07E"/>
    <w:rsid w:val="1342D673"/>
    <w:rsid w:val="1360225F"/>
    <w:rsid w:val="1372DD7B"/>
    <w:rsid w:val="153F4BD5"/>
    <w:rsid w:val="15435B87"/>
    <w:rsid w:val="155F355C"/>
    <w:rsid w:val="16522FB7"/>
    <w:rsid w:val="16AB0283"/>
    <w:rsid w:val="1730AB25"/>
    <w:rsid w:val="17BC09AB"/>
    <w:rsid w:val="184A5CAD"/>
    <w:rsid w:val="185904CF"/>
    <w:rsid w:val="18BBDFB6"/>
    <w:rsid w:val="18E90984"/>
    <w:rsid w:val="18EB4EF5"/>
    <w:rsid w:val="1956C39E"/>
    <w:rsid w:val="1A043BF5"/>
    <w:rsid w:val="1A4D61EC"/>
    <w:rsid w:val="1A557A28"/>
    <w:rsid w:val="1A601D0B"/>
    <w:rsid w:val="1B0F37F6"/>
    <w:rsid w:val="1B234EC6"/>
    <w:rsid w:val="1B9740EC"/>
    <w:rsid w:val="1BA4357A"/>
    <w:rsid w:val="1BD11372"/>
    <w:rsid w:val="1BFD867D"/>
    <w:rsid w:val="1C5A97C9"/>
    <w:rsid w:val="1CA1CA7D"/>
    <w:rsid w:val="1D57835F"/>
    <w:rsid w:val="1D8302E0"/>
    <w:rsid w:val="1E83D4D0"/>
    <w:rsid w:val="1EFE5C57"/>
    <w:rsid w:val="1F39A085"/>
    <w:rsid w:val="216F71B5"/>
    <w:rsid w:val="22153A3B"/>
    <w:rsid w:val="221BA19A"/>
    <w:rsid w:val="22840E54"/>
    <w:rsid w:val="2340C9BA"/>
    <w:rsid w:val="23D5A02F"/>
    <w:rsid w:val="24094BED"/>
    <w:rsid w:val="24200F3E"/>
    <w:rsid w:val="2431596C"/>
    <w:rsid w:val="26A32256"/>
    <w:rsid w:val="276E9A81"/>
    <w:rsid w:val="28C5E76F"/>
    <w:rsid w:val="294B2A7E"/>
    <w:rsid w:val="2ABDF445"/>
    <w:rsid w:val="2C2ACB79"/>
    <w:rsid w:val="2E2337E1"/>
    <w:rsid w:val="30BD5087"/>
    <w:rsid w:val="3132F312"/>
    <w:rsid w:val="31F24E30"/>
    <w:rsid w:val="32354F0F"/>
    <w:rsid w:val="327B7FDA"/>
    <w:rsid w:val="32834EC3"/>
    <w:rsid w:val="33A5191C"/>
    <w:rsid w:val="33EBFF65"/>
    <w:rsid w:val="33F94F40"/>
    <w:rsid w:val="34D312B2"/>
    <w:rsid w:val="3596868F"/>
    <w:rsid w:val="36107B40"/>
    <w:rsid w:val="371342A6"/>
    <w:rsid w:val="3800BB40"/>
    <w:rsid w:val="3888C323"/>
    <w:rsid w:val="398E7F3C"/>
    <w:rsid w:val="39B4399B"/>
    <w:rsid w:val="3A7C5630"/>
    <w:rsid w:val="3AC58B90"/>
    <w:rsid w:val="3B13528A"/>
    <w:rsid w:val="3B5D3077"/>
    <w:rsid w:val="3B9FCD99"/>
    <w:rsid w:val="3BD84576"/>
    <w:rsid w:val="3CA96374"/>
    <w:rsid w:val="3CD19259"/>
    <w:rsid w:val="3D6F155D"/>
    <w:rsid w:val="3F4026E7"/>
    <w:rsid w:val="3FCD6952"/>
    <w:rsid w:val="40FE57EA"/>
    <w:rsid w:val="4158B2B7"/>
    <w:rsid w:val="42AA0A2D"/>
    <w:rsid w:val="430E29AE"/>
    <w:rsid w:val="439CFAB4"/>
    <w:rsid w:val="43EE2EAD"/>
    <w:rsid w:val="449D8445"/>
    <w:rsid w:val="45ACE4D4"/>
    <w:rsid w:val="46441244"/>
    <w:rsid w:val="466549F6"/>
    <w:rsid w:val="468CD759"/>
    <w:rsid w:val="46B193BA"/>
    <w:rsid w:val="47132B40"/>
    <w:rsid w:val="4718BA8E"/>
    <w:rsid w:val="49362B2B"/>
    <w:rsid w:val="499D62CA"/>
    <w:rsid w:val="4A73E402"/>
    <w:rsid w:val="4C6A8CFD"/>
    <w:rsid w:val="4CC867E1"/>
    <w:rsid w:val="4D038DB5"/>
    <w:rsid w:val="4D25EDE2"/>
    <w:rsid w:val="4D9F5F96"/>
    <w:rsid w:val="4E551E08"/>
    <w:rsid w:val="4EB83E0D"/>
    <w:rsid w:val="4F0448CC"/>
    <w:rsid w:val="4F073C4B"/>
    <w:rsid w:val="51664178"/>
    <w:rsid w:val="51891A71"/>
    <w:rsid w:val="5283CCA8"/>
    <w:rsid w:val="53861F64"/>
    <w:rsid w:val="542B1AB7"/>
    <w:rsid w:val="54A36145"/>
    <w:rsid w:val="54C965E2"/>
    <w:rsid w:val="55236830"/>
    <w:rsid w:val="57734670"/>
    <w:rsid w:val="57C7F50A"/>
    <w:rsid w:val="58239369"/>
    <w:rsid w:val="58D6BA4B"/>
    <w:rsid w:val="5A01D509"/>
    <w:rsid w:val="5A225699"/>
    <w:rsid w:val="5B30627F"/>
    <w:rsid w:val="5BA4011D"/>
    <w:rsid w:val="5C60A274"/>
    <w:rsid w:val="5C7FC8BC"/>
    <w:rsid w:val="5CFCA847"/>
    <w:rsid w:val="5DAA82CE"/>
    <w:rsid w:val="5EC5EE44"/>
    <w:rsid w:val="5EDEC1FB"/>
    <w:rsid w:val="5F0F9FBB"/>
    <w:rsid w:val="607D54AA"/>
    <w:rsid w:val="615E9001"/>
    <w:rsid w:val="62BF025E"/>
    <w:rsid w:val="6300B48C"/>
    <w:rsid w:val="637952D1"/>
    <w:rsid w:val="6380695E"/>
    <w:rsid w:val="639B43AF"/>
    <w:rsid w:val="641D3ADD"/>
    <w:rsid w:val="64BFFADD"/>
    <w:rsid w:val="64F18BBE"/>
    <w:rsid w:val="64FBED5E"/>
    <w:rsid w:val="6522E7A4"/>
    <w:rsid w:val="653ECE90"/>
    <w:rsid w:val="65B7FD76"/>
    <w:rsid w:val="65BC0A32"/>
    <w:rsid w:val="66244C42"/>
    <w:rsid w:val="67B780D8"/>
    <w:rsid w:val="686B7AF5"/>
    <w:rsid w:val="69B7D892"/>
    <w:rsid w:val="6AFA8887"/>
    <w:rsid w:val="6B6A87ED"/>
    <w:rsid w:val="6BF2504D"/>
    <w:rsid w:val="6C0BBCFE"/>
    <w:rsid w:val="6C7E393F"/>
    <w:rsid w:val="6DA07430"/>
    <w:rsid w:val="6DD91108"/>
    <w:rsid w:val="7019CF83"/>
    <w:rsid w:val="70936A57"/>
    <w:rsid w:val="723A5E72"/>
    <w:rsid w:val="723CB487"/>
    <w:rsid w:val="7283D2BB"/>
    <w:rsid w:val="72BD6CC7"/>
    <w:rsid w:val="72C67255"/>
    <w:rsid w:val="72EBC601"/>
    <w:rsid w:val="738B8F35"/>
    <w:rsid w:val="73D344DE"/>
    <w:rsid w:val="73E9BC16"/>
    <w:rsid w:val="7436E54D"/>
    <w:rsid w:val="756244AE"/>
    <w:rsid w:val="75C81382"/>
    <w:rsid w:val="76296D73"/>
    <w:rsid w:val="76BBC49A"/>
    <w:rsid w:val="76CD763F"/>
    <w:rsid w:val="76D5CB51"/>
    <w:rsid w:val="76ED3F60"/>
    <w:rsid w:val="770D9836"/>
    <w:rsid w:val="77AABFB4"/>
    <w:rsid w:val="77E6F210"/>
    <w:rsid w:val="78341411"/>
    <w:rsid w:val="784357C3"/>
    <w:rsid w:val="7886144B"/>
    <w:rsid w:val="79822B27"/>
    <w:rsid w:val="79F73A07"/>
    <w:rsid w:val="7C41270C"/>
    <w:rsid w:val="7CEA2310"/>
    <w:rsid w:val="7D500EEC"/>
    <w:rsid w:val="7E38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387FD"/>
  <w15:chartTrackingRefBased/>
  <w15:docId w15:val="{DBD58090-6516-4E97-BB57-ED8FB0E3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C90"/>
  </w:style>
  <w:style w:type="paragraph" w:styleId="Heading1">
    <w:name w:val="heading 1"/>
    <w:basedOn w:val="Normal"/>
    <w:next w:val="Normal"/>
    <w:link w:val="Heading1Char"/>
    <w:uiPriority w:val="9"/>
    <w:qFormat/>
    <w:rsid w:val="008A7C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A7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7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C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71F97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02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02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02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2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23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2B4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D37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2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nlinelibrary.wiley.com/doi/10.1111/joim.13760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212CF887CC049AE0A16A900E750E9" ma:contentTypeVersion="16" ma:contentTypeDescription="Create a new document." ma:contentTypeScope="" ma:versionID="e7820897ed7d53f990ce26ff01c613e4">
  <xsd:schema xmlns:xsd="http://www.w3.org/2001/XMLSchema" xmlns:xs="http://www.w3.org/2001/XMLSchema" xmlns:p="http://schemas.microsoft.com/office/2006/metadata/properties" xmlns:ns2="04c69e7e-30dd-4fc4-b8bc-afeef48eb057" xmlns:ns3="537647ec-f617-4999-8032-1f453e4c2fb5" targetNamespace="http://schemas.microsoft.com/office/2006/metadata/properties" ma:root="true" ma:fieldsID="f03f827e0e1195eccbc7c3aeef81d122" ns2:_="" ns3:_="">
    <xsd:import namespace="04c69e7e-30dd-4fc4-b8bc-afeef48eb057"/>
    <xsd:import namespace="537647ec-f617-4999-8032-1f453e4c2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69e7e-30dd-4fc4-b8bc-afeef48eb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9112196-7e5b-431e-8fea-f50fb91bce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647ec-f617-4999-8032-1f453e4c2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1ff0bba-50f5-4c0b-b1c3-5fd5d8475422}" ma:internalName="TaxCatchAll" ma:showField="CatchAllData" ma:web="537647ec-f617-4999-8032-1f453e4c2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7647ec-f617-4999-8032-1f453e4c2fb5" xsi:nil="true"/>
    <lcf76f155ced4ddcb4097134ff3c332f xmlns="04c69e7e-30dd-4fc4-b8bc-afeef48eb0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833CF3-B288-424F-9BFD-EBDFB16A2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c69e7e-30dd-4fc4-b8bc-afeef48eb057"/>
    <ds:schemaRef ds:uri="537647ec-f617-4999-8032-1f453e4c2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2B8E45-4B7B-44CA-883D-6EABF409C3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888A28-5B10-48BE-B8D6-480C75C53C84}">
  <ds:schemaRefs>
    <ds:schemaRef ds:uri="http://schemas.microsoft.com/office/2006/metadata/properties"/>
    <ds:schemaRef ds:uri="http://schemas.microsoft.com/office/infopath/2007/PartnerControls"/>
    <ds:schemaRef ds:uri="91ebaabd-def3-4861-b966-b229b5abfcd1"/>
    <ds:schemaRef ds:uri="c2d4fec1-fcaa-42ea-bf3a-d8cde0f51555"/>
    <ds:schemaRef ds:uri="537647ec-f617-4999-8032-1f453e4c2fb5"/>
    <ds:schemaRef ds:uri="04c69e7e-30dd-4fc4-b8bc-afeef48eb057"/>
  </ds:schemaRefs>
</ds:datastoreItem>
</file>

<file path=docMetadata/LabelInfo.xml><?xml version="1.0" encoding="utf-8"?>
<clbl:labelList xmlns:clbl="http://schemas.microsoft.com/office/2020/mipLabelMetadata">
  <clbl:label id="{3f8a7bc4-e337-47a5-a0fc-0d512c0e05f1}" enabled="0" method="" siteId="{3f8a7bc4-e337-47a5-a0fc-0d512c0e05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Cimone E Parker</dc:creator>
  <cp:keywords/>
  <dc:description/>
  <cp:lastModifiedBy>Natalie Au</cp:lastModifiedBy>
  <cp:revision>8</cp:revision>
  <dcterms:created xsi:type="dcterms:W3CDTF">2025-02-20T18:39:00Z</dcterms:created>
  <dcterms:modified xsi:type="dcterms:W3CDTF">2025-02-20T22:12:00Z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0x0101005E2212CF887CC049AE0A16A900E750E9</vt:lpwstr>
  </property>
  <property fmtid="{D5CDD505-2E9C-101B-9397-08002B2CF9AE}" pid="3" name="MediaServiceImageTags">
    <vt:lpwstr/>
  </property>
</Properties>
</file>