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12DC" w14:textId="6EC1FF86" w:rsidR="1A557A28" w:rsidRPr="008E34A5" w:rsidRDefault="00DE11DE" w:rsidP="00F53E41">
      <w:pPr>
        <w:spacing w:after="0" w:line="240" w:lineRule="auto"/>
        <w:rPr>
          <w:rFonts w:ascii="Calibri" w:eastAsia="Calibri" w:hAnsi="Calibri" w:cs="Calibri"/>
          <w:b/>
          <w:bCs/>
          <w:color w:val="2F5496" w:themeColor="accent1" w:themeShade="BF"/>
          <w:sz w:val="28"/>
          <w:szCs w:val="28"/>
        </w:rPr>
      </w:pPr>
      <w:r w:rsidRPr="008E34A5">
        <w:rPr>
          <w:rFonts w:ascii="Calibri" w:eastAsia="Calibri" w:hAnsi="Calibri" w:cs="Calibri"/>
          <w:b/>
          <w:bCs/>
          <w:color w:val="2F5496" w:themeColor="accent1" w:themeShade="BF"/>
          <w:sz w:val="28"/>
          <w:szCs w:val="28"/>
        </w:rPr>
        <w:t>Targeted Outreach Improves Treatment Initiation Post-Fracture</w:t>
      </w:r>
    </w:p>
    <w:p w14:paraId="28593718" w14:textId="5A890C54" w:rsidR="00CB45C2" w:rsidRDefault="003A5326" w:rsidP="00F53E41">
      <w:pPr>
        <w:spacing w:after="0" w:line="240" w:lineRule="auto"/>
        <w:rPr>
          <w:rFonts w:cstheme="minorHAnsi"/>
        </w:rPr>
      </w:pPr>
      <w:r w:rsidRPr="006D21D7">
        <w:rPr>
          <w:rFonts w:cstheme="minorHAnsi"/>
        </w:rPr>
        <w:t>P</w:t>
      </w:r>
      <w:r w:rsidR="002C77AE">
        <w:rPr>
          <w:rFonts w:cstheme="minorHAnsi"/>
        </w:rPr>
        <w:t>rincipal Investigator</w:t>
      </w:r>
      <w:r w:rsidRPr="006D21D7">
        <w:rPr>
          <w:rFonts w:cstheme="minorHAnsi"/>
        </w:rPr>
        <w:t>: Joan Lo</w:t>
      </w:r>
      <w:r w:rsidR="00CB45C2">
        <w:rPr>
          <w:rFonts w:cstheme="minorHAnsi"/>
        </w:rPr>
        <w:tab/>
      </w:r>
      <w:r w:rsidR="002C77AE">
        <w:rPr>
          <w:rFonts w:cstheme="minorHAnsi"/>
        </w:rPr>
        <w:t xml:space="preserve">    </w:t>
      </w:r>
      <w:r w:rsidR="00CB45C2">
        <w:rPr>
          <w:rFonts w:cstheme="minorHAnsi"/>
        </w:rPr>
        <w:t>Clinical Leads</w:t>
      </w:r>
      <w:r w:rsidRPr="006D21D7">
        <w:rPr>
          <w:rFonts w:cstheme="minorHAnsi"/>
        </w:rPr>
        <w:t xml:space="preserve">: </w:t>
      </w:r>
      <w:r w:rsidR="00987AEF">
        <w:rPr>
          <w:rFonts w:cstheme="minorHAnsi"/>
        </w:rPr>
        <w:t xml:space="preserve"> </w:t>
      </w:r>
      <w:r w:rsidRPr="006D21D7">
        <w:rPr>
          <w:rFonts w:cstheme="minorHAnsi"/>
        </w:rPr>
        <w:t>Kendal Hamann</w:t>
      </w:r>
      <w:r w:rsidR="00987AEF">
        <w:rPr>
          <w:rFonts w:cstheme="minorHAnsi"/>
        </w:rPr>
        <w:t xml:space="preserve"> &amp;</w:t>
      </w:r>
      <w:r w:rsidRPr="006D21D7">
        <w:rPr>
          <w:rFonts w:cstheme="minorHAnsi"/>
        </w:rPr>
        <w:t xml:space="preserve"> Mehreen Khan</w:t>
      </w:r>
      <w:r w:rsidR="00CB45C2">
        <w:rPr>
          <w:rFonts w:cstheme="minorHAnsi"/>
        </w:rPr>
        <w:t xml:space="preserve"> (Regional Fracture Prevention Lead)</w:t>
      </w:r>
    </w:p>
    <w:p w14:paraId="6347466E" w14:textId="277E7F9B" w:rsidR="00987AEF" w:rsidRPr="006D21D7" w:rsidRDefault="00CB45C2" w:rsidP="008E34A5">
      <w:pPr>
        <w:spacing w:after="0" w:line="240" w:lineRule="auto"/>
        <w:ind w:right="-90"/>
        <w:rPr>
          <w:rFonts w:cstheme="minorHAnsi"/>
        </w:rPr>
      </w:pPr>
      <w:r>
        <w:rPr>
          <w:rFonts w:cstheme="minorHAnsi"/>
        </w:rPr>
        <w:t>Other Co-</w:t>
      </w:r>
      <w:r w:rsidR="002C77AE">
        <w:rPr>
          <w:rFonts w:cstheme="minorHAnsi"/>
        </w:rPr>
        <w:t>I</w:t>
      </w:r>
      <w:r>
        <w:rPr>
          <w:rFonts w:cstheme="minorHAnsi"/>
        </w:rPr>
        <w:t>: Cath</w:t>
      </w:r>
      <w:r w:rsidR="008E34A5">
        <w:rPr>
          <w:rFonts w:cstheme="minorHAnsi"/>
        </w:rPr>
        <w:t>y</w:t>
      </w:r>
      <w:r>
        <w:rPr>
          <w:rFonts w:cstheme="minorHAnsi"/>
        </w:rPr>
        <w:t xml:space="preserve"> Lee, Nancy Gordon</w:t>
      </w:r>
      <w:r w:rsidR="008E34A5">
        <w:rPr>
          <w:rFonts w:cstheme="minorHAnsi"/>
        </w:rPr>
        <w:t>, Mohan Ramaswamy;</w:t>
      </w:r>
      <w:r w:rsidR="002C77AE">
        <w:rPr>
          <w:rFonts w:cstheme="minorHAnsi"/>
        </w:rPr>
        <w:t xml:space="preserve">  Pharmacy Co-I: Rita Hu</w:t>
      </w:r>
      <w:r w:rsidR="00BE1856">
        <w:rPr>
          <w:rFonts w:cstheme="minorHAnsi"/>
        </w:rPr>
        <w:t>i</w:t>
      </w:r>
      <w:r w:rsidR="008E34A5">
        <w:rPr>
          <w:rFonts w:cstheme="minorHAnsi"/>
        </w:rPr>
        <w:t xml:space="preserve">;  </w:t>
      </w:r>
      <w:r w:rsidR="002C77AE">
        <w:rPr>
          <w:rFonts w:cstheme="minorHAnsi"/>
        </w:rPr>
        <w:t>Sr Data Consultant: Malini Chandra</w:t>
      </w:r>
    </w:p>
    <w:tbl>
      <w:tblPr>
        <w:tblStyle w:val="TableGrid"/>
        <w:tblpPr w:leftFromText="187" w:rightFromText="187" w:vertAnchor="page" w:horzAnchor="margin" w:tblpY="1801"/>
        <w:tblW w:w="10705" w:type="dxa"/>
        <w:tblLook w:val="04A0" w:firstRow="1" w:lastRow="0" w:firstColumn="1" w:lastColumn="0" w:noHBand="0" w:noVBand="1"/>
      </w:tblPr>
      <w:tblGrid>
        <w:gridCol w:w="1975"/>
        <w:gridCol w:w="8730"/>
      </w:tblGrid>
      <w:tr w:rsidR="0048655A" w:rsidRPr="008A7C90" w14:paraId="307289BF" w14:textId="77777777" w:rsidTr="00D836DC">
        <w:trPr>
          <w:trHeight w:val="890"/>
        </w:trPr>
        <w:tc>
          <w:tcPr>
            <w:tcW w:w="1975" w:type="dxa"/>
          </w:tcPr>
          <w:p w14:paraId="2C7E2D09" w14:textId="77777777" w:rsidR="0048655A" w:rsidRPr="008A7C90" w:rsidRDefault="0048655A" w:rsidP="00CF0772">
            <w:bookmarkStart w:id="0" w:name="_Hlk54105970"/>
            <w:r w:rsidRPr="008A7C90">
              <w:t>Challenge</w:t>
            </w:r>
          </w:p>
        </w:tc>
        <w:tc>
          <w:tcPr>
            <w:tcW w:w="8730" w:type="dxa"/>
          </w:tcPr>
          <w:p w14:paraId="7F9273D4" w14:textId="6D66842C" w:rsidR="00A866B5" w:rsidRPr="0031051B" w:rsidRDefault="00DE11DE" w:rsidP="00CF07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Post-menopausal women and men over age 70 who sustain a fragility fracture are more likely to re-fracture unless they are </w:t>
            </w:r>
            <w:r w:rsidR="00987AEF">
              <w:rPr>
                <w:b/>
                <w:bCs/>
              </w:rPr>
              <w:t>initiate osteoporosis treatment</w:t>
            </w:r>
            <w:r>
              <w:rPr>
                <w:b/>
                <w:bCs/>
              </w:rPr>
              <w:t xml:space="preserve">. </w:t>
            </w:r>
            <w:r w:rsidR="0048655A" w:rsidRPr="0031051B">
              <w:rPr>
                <w:b/>
                <w:bCs/>
              </w:rPr>
              <w:t xml:space="preserve"> </w:t>
            </w:r>
            <w:r w:rsidR="00A866B5">
              <w:rPr>
                <w:b/>
                <w:bCs/>
              </w:rPr>
              <w:t xml:space="preserve">However, </w:t>
            </w:r>
            <w:r w:rsidR="00987AEF">
              <w:rPr>
                <w:b/>
                <w:bCs/>
              </w:rPr>
              <w:t xml:space="preserve">the </w:t>
            </w:r>
            <w:r w:rsidR="00A866B5">
              <w:rPr>
                <w:b/>
                <w:bCs/>
              </w:rPr>
              <w:t xml:space="preserve">osteoporosis treatment rates following fracture remain suboptimal. </w:t>
            </w:r>
          </w:p>
        </w:tc>
      </w:tr>
      <w:tr w:rsidR="0048655A" w:rsidRPr="008A7C90" w14:paraId="67D435C8" w14:textId="77777777" w:rsidTr="00D836DC">
        <w:trPr>
          <w:trHeight w:val="890"/>
        </w:trPr>
        <w:tc>
          <w:tcPr>
            <w:tcW w:w="1975" w:type="dxa"/>
          </w:tcPr>
          <w:p w14:paraId="351B366F" w14:textId="77777777" w:rsidR="0048655A" w:rsidRPr="008A7C90" w:rsidRDefault="0048655A" w:rsidP="00CF0772">
            <w:r w:rsidRPr="008A7C90">
              <w:t>Existing Evidence</w:t>
            </w:r>
          </w:p>
        </w:tc>
        <w:tc>
          <w:tcPr>
            <w:tcW w:w="8730" w:type="dxa"/>
          </w:tcPr>
          <w:p w14:paraId="70041630" w14:textId="536AFFA4" w:rsidR="0048655A" w:rsidRPr="008A7C90" w:rsidRDefault="005844CD" w:rsidP="00CF0772">
            <w:r>
              <w:t>Osteoporosis t</w:t>
            </w:r>
            <w:r w:rsidR="00DE11DE">
              <w:t xml:space="preserve">reatment </w:t>
            </w:r>
            <w:r w:rsidR="00987AEF">
              <w:t xml:space="preserve">after </w:t>
            </w:r>
            <w:r w:rsidR="00DE11DE">
              <w:t xml:space="preserve">fracture can reduce </w:t>
            </w:r>
            <w:r>
              <w:t xml:space="preserve">subsequent </w:t>
            </w:r>
            <w:r w:rsidR="00DE11DE">
              <w:t xml:space="preserve">fracture </w:t>
            </w:r>
            <w:r>
              <w:t xml:space="preserve">risk </w:t>
            </w:r>
            <w:r w:rsidR="00DE11DE">
              <w:t xml:space="preserve">by 30-70%. </w:t>
            </w:r>
            <w:r w:rsidR="00987AEF">
              <w:t>HEDIS measures focus on screening-or-treatment for w</w:t>
            </w:r>
            <w:r w:rsidR="00DE11DE">
              <w:t xml:space="preserve">omen age 65-85 </w:t>
            </w:r>
            <w:r>
              <w:t>after fracture</w:t>
            </w:r>
            <w:r w:rsidR="00987AEF">
              <w:t xml:space="preserve">, but </w:t>
            </w:r>
            <w:r w:rsidR="00DE11DE">
              <w:t xml:space="preserve">younger women and </w:t>
            </w:r>
            <w:r w:rsidR="00987AEF">
              <w:t xml:space="preserve">older </w:t>
            </w:r>
            <w:r>
              <w:t>m</w:t>
            </w:r>
            <w:r w:rsidR="00DE11DE">
              <w:t xml:space="preserve">en </w:t>
            </w:r>
            <w:r w:rsidR="00651BCD">
              <w:t>are</w:t>
            </w:r>
            <w:r>
              <w:t xml:space="preserve"> </w:t>
            </w:r>
            <w:r w:rsidR="00651BCD">
              <w:t xml:space="preserve">not </w:t>
            </w:r>
            <w:r>
              <w:t xml:space="preserve">targeted despite </w:t>
            </w:r>
            <w:r w:rsidR="00987AEF">
              <w:t xml:space="preserve">their risk of fracture and </w:t>
            </w:r>
            <w:r w:rsidR="00651BCD">
              <w:t xml:space="preserve">associated </w:t>
            </w:r>
            <w:r w:rsidR="00987AEF">
              <w:t>morbidity.</w:t>
            </w:r>
          </w:p>
        </w:tc>
      </w:tr>
      <w:tr w:rsidR="0048655A" w:rsidRPr="008A7C90" w14:paraId="136E6453" w14:textId="77777777" w:rsidTr="00D836DC">
        <w:trPr>
          <w:trHeight w:val="620"/>
        </w:trPr>
        <w:tc>
          <w:tcPr>
            <w:tcW w:w="1975" w:type="dxa"/>
          </w:tcPr>
          <w:p w14:paraId="53202DB8" w14:textId="77777777" w:rsidR="0048655A" w:rsidRPr="008A7C90" w:rsidRDefault="0048655A" w:rsidP="00CF0772">
            <w:r w:rsidRPr="008A7C90">
              <w:t>Target Population</w:t>
            </w:r>
          </w:p>
        </w:tc>
        <w:tc>
          <w:tcPr>
            <w:tcW w:w="8730" w:type="dxa"/>
          </w:tcPr>
          <w:p w14:paraId="009FED38" w14:textId="7BFEBA93" w:rsidR="0048655A" w:rsidRDefault="00DE11DE" w:rsidP="00CF0772">
            <w:r>
              <w:t xml:space="preserve">Women age 60-85 who sustain </w:t>
            </w:r>
            <w:r w:rsidR="004F1DD4">
              <w:t xml:space="preserve">a </w:t>
            </w:r>
            <w:r>
              <w:t>fracture</w:t>
            </w:r>
            <w:r w:rsidR="004F1DD4">
              <w:t xml:space="preserve"> (includes women age 60-64 not previously targeted)</w:t>
            </w:r>
            <w:r w:rsidR="002B604D">
              <w:t>.</w:t>
            </w:r>
          </w:p>
          <w:p w14:paraId="1486D38C" w14:textId="76488C7D" w:rsidR="00DE11DE" w:rsidRPr="008A7C90" w:rsidRDefault="00DE11DE" w:rsidP="00CF0772">
            <w:r>
              <w:t xml:space="preserve">Men age 70-85 who sustain </w:t>
            </w:r>
            <w:r w:rsidR="004F1DD4">
              <w:t xml:space="preserve">a </w:t>
            </w:r>
            <w:r>
              <w:t>fracture</w:t>
            </w:r>
            <w:r w:rsidR="004F1DD4">
              <w:t xml:space="preserve"> (this is the first quality effort to target men)</w:t>
            </w:r>
            <w:r w:rsidR="002B604D">
              <w:t>.</w:t>
            </w:r>
          </w:p>
        </w:tc>
      </w:tr>
      <w:tr w:rsidR="0048655A" w:rsidRPr="008A7C90" w14:paraId="5B80BED5" w14:textId="77777777" w:rsidTr="00D836DC">
        <w:trPr>
          <w:trHeight w:val="1502"/>
        </w:trPr>
        <w:tc>
          <w:tcPr>
            <w:tcW w:w="1975" w:type="dxa"/>
          </w:tcPr>
          <w:p w14:paraId="0D0B7C0D" w14:textId="77777777" w:rsidR="0048655A" w:rsidRPr="008A7C90" w:rsidRDefault="0048655A" w:rsidP="00CF0772">
            <w:r w:rsidRPr="008A7C90">
              <w:t>Intervention or Exposure</w:t>
            </w:r>
          </w:p>
        </w:tc>
        <w:tc>
          <w:tcPr>
            <w:tcW w:w="8730" w:type="dxa"/>
          </w:tcPr>
          <w:p w14:paraId="1A95BE49" w14:textId="2FF9E8E5" w:rsidR="00700FDA" w:rsidRDefault="00F53E41" w:rsidP="00CF0772">
            <w:r>
              <w:t>[</w:t>
            </w:r>
            <w:r w:rsidR="004F1DD4">
              <w:t>1</w:t>
            </w:r>
            <w:r>
              <w:t xml:space="preserve">] </w:t>
            </w:r>
            <w:r w:rsidR="004F1DD4">
              <w:t xml:space="preserve"> </w:t>
            </w:r>
            <w:r w:rsidR="005844CD">
              <w:t>We assessed the impact of a</w:t>
            </w:r>
            <w:r w:rsidR="004F1DD4">
              <w:t xml:space="preserve">n </w:t>
            </w:r>
            <w:r w:rsidR="00DE11DE">
              <w:t>outreach program</w:t>
            </w:r>
            <w:r w:rsidR="005844CD">
              <w:t xml:space="preserve"> </w:t>
            </w:r>
            <w:r w:rsidR="004F1DD4">
              <w:t>targeting</w:t>
            </w:r>
            <w:r w:rsidR="005844CD">
              <w:t xml:space="preserve"> </w:t>
            </w:r>
            <w:r w:rsidR="00A866B5">
              <w:t>“</w:t>
            </w:r>
            <w:r w:rsidR="005844CD">
              <w:t>treatment</w:t>
            </w:r>
            <w:r w:rsidR="00A866B5">
              <w:t>”</w:t>
            </w:r>
            <w:r w:rsidR="00DE11DE">
              <w:t xml:space="preserve"> </w:t>
            </w:r>
            <w:r w:rsidR="004F1DD4">
              <w:t xml:space="preserve">after </w:t>
            </w:r>
            <w:r w:rsidR="005844CD">
              <w:t xml:space="preserve">high-risk fracture </w:t>
            </w:r>
            <w:r w:rsidR="00203AEB">
              <w:t xml:space="preserve">compared to  </w:t>
            </w:r>
            <w:r w:rsidR="004F1DD4">
              <w:t xml:space="preserve">existing </w:t>
            </w:r>
            <w:r w:rsidR="00A866B5">
              <w:t>HEDIS</w:t>
            </w:r>
            <w:r w:rsidR="005844CD">
              <w:t xml:space="preserve"> outreach </w:t>
            </w:r>
            <w:r w:rsidR="004F1DD4">
              <w:t>targeting</w:t>
            </w:r>
            <w:r w:rsidR="005844CD">
              <w:t xml:space="preserve"> </w:t>
            </w:r>
            <w:r w:rsidR="00A866B5">
              <w:t>“</w:t>
            </w:r>
            <w:r w:rsidR="005844CD">
              <w:t>screening or treatment</w:t>
            </w:r>
            <w:r w:rsidR="00A866B5">
              <w:t>”</w:t>
            </w:r>
            <w:r w:rsidR="005844CD">
              <w:t xml:space="preserve">. </w:t>
            </w:r>
            <w:r w:rsidR="004F1DD4">
              <w:t xml:space="preserve"> </w:t>
            </w:r>
            <w:r w:rsidR="00583E6C">
              <w:t>The</w:t>
            </w:r>
            <w:r w:rsidR="00651BCD">
              <w:t xml:space="preserve"> specific</w:t>
            </w:r>
            <w:r w:rsidR="00583E6C">
              <w:t xml:space="preserve"> goal of the high-risk fracture program was </w:t>
            </w:r>
            <w:r w:rsidR="00DE11DE">
              <w:t xml:space="preserve">treatment </w:t>
            </w:r>
            <w:r w:rsidR="004F1DD4">
              <w:rPr>
                <w:rFonts w:ascii="Arial" w:hAnsi="Arial" w:cs="Arial"/>
              </w:rPr>
              <w:t>≤</w:t>
            </w:r>
            <w:r w:rsidR="00DE11DE">
              <w:t>6 months</w:t>
            </w:r>
            <w:r w:rsidR="004F1DD4">
              <w:t>, not just bone density testing.</w:t>
            </w:r>
            <w:r w:rsidR="00DE11DE">
              <w:t xml:space="preserve"> </w:t>
            </w:r>
          </w:p>
          <w:p w14:paraId="4F157031" w14:textId="32906D83" w:rsidR="004F1DD4" w:rsidRPr="00700FDA" w:rsidRDefault="0048655A" w:rsidP="00CF0772">
            <w:pPr>
              <w:rPr>
                <w:sz w:val="8"/>
                <w:szCs w:val="16"/>
              </w:rPr>
            </w:pPr>
            <w:r w:rsidRPr="008A7C90">
              <w:t xml:space="preserve"> </w:t>
            </w:r>
          </w:p>
          <w:p w14:paraId="0CA2C589" w14:textId="6F13313E" w:rsidR="00A866B5" w:rsidRPr="008A7C90" w:rsidRDefault="00F53E41" w:rsidP="00CF0772">
            <w:r>
              <w:t>[</w:t>
            </w:r>
            <w:r w:rsidR="004F1DD4">
              <w:t>2</w:t>
            </w:r>
            <w:r>
              <w:t xml:space="preserve">] </w:t>
            </w:r>
            <w:r w:rsidR="004F1DD4">
              <w:t xml:space="preserve"> </w:t>
            </w:r>
            <w:r w:rsidR="00651BCD">
              <w:t>This study also</w:t>
            </w:r>
            <w:r w:rsidR="00583E6C">
              <w:t xml:space="preserve"> </w:t>
            </w:r>
            <w:r w:rsidR="00A866B5">
              <w:t>surveyed Endocrin</w:t>
            </w:r>
            <w:r w:rsidR="00651BCD">
              <w:t xml:space="preserve">ologists to determine the extent to which </w:t>
            </w:r>
            <w:r w:rsidR="00A866B5">
              <w:t xml:space="preserve">attitudes </w:t>
            </w:r>
            <w:r w:rsidR="00651BCD">
              <w:t xml:space="preserve">and beliefs concerning osteoporosis and </w:t>
            </w:r>
            <w:r w:rsidR="00A866B5">
              <w:t>fracture prevention care</w:t>
            </w:r>
            <w:r w:rsidR="00651BCD">
              <w:t xml:space="preserve"> varied.</w:t>
            </w:r>
          </w:p>
        </w:tc>
      </w:tr>
      <w:tr w:rsidR="0048655A" w:rsidRPr="008A7C90" w14:paraId="13978FD3" w14:textId="77777777" w:rsidTr="00D836DC">
        <w:trPr>
          <w:trHeight w:val="2150"/>
        </w:trPr>
        <w:tc>
          <w:tcPr>
            <w:tcW w:w="1975" w:type="dxa"/>
          </w:tcPr>
          <w:p w14:paraId="7525D5B4" w14:textId="77777777" w:rsidR="0048655A" w:rsidRPr="00EF635D" w:rsidRDefault="0048655A" w:rsidP="00CF0772">
            <w:pPr>
              <w:rPr>
                <w:b/>
                <w:bCs/>
              </w:rPr>
            </w:pPr>
            <w:r w:rsidRPr="00EF635D">
              <w:rPr>
                <w:b/>
                <w:bCs/>
              </w:rPr>
              <w:t>Outcomes/Key Findings</w:t>
            </w:r>
          </w:p>
        </w:tc>
        <w:tc>
          <w:tcPr>
            <w:tcW w:w="8730" w:type="dxa"/>
          </w:tcPr>
          <w:p w14:paraId="2CD28834" w14:textId="32D22B75" w:rsidR="00DE11DE" w:rsidRDefault="004F1DD4" w:rsidP="00CF07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[1]  </w:t>
            </w:r>
            <w:r w:rsidR="00DE11DE" w:rsidRPr="006D21D7">
              <w:rPr>
                <w:rFonts w:ascii="Calibri" w:hAnsi="Calibri" w:cs="Calibri"/>
              </w:rPr>
              <w:t xml:space="preserve">Targeted intervention after </w:t>
            </w:r>
            <w:r w:rsidR="00700FDA">
              <w:rPr>
                <w:rFonts w:ascii="Calibri" w:hAnsi="Calibri" w:cs="Calibri"/>
              </w:rPr>
              <w:t>hip, humerus, or wrist f</w:t>
            </w:r>
            <w:r w:rsidR="00DE11DE" w:rsidRPr="006D21D7">
              <w:rPr>
                <w:rFonts w:ascii="Calibri" w:hAnsi="Calibri" w:cs="Calibri"/>
              </w:rPr>
              <w:t xml:space="preserve">racture increased treatment by 2-fold in </w:t>
            </w:r>
            <w:r w:rsidR="00651BCD">
              <w:rPr>
                <w:rFonts w:ascii="Calibri" w:hAnsi="Calibri" w:cs="Calibri"/>
              </w:rPr>
              <w:t xml:space="preserve">older </w:t>
            </w:r>
            <w:r w:rsidR="00DE11DE" w:rsidRPr="006D21D7">
              <w:rPr>
                <w:rFonts w:ascii="Calibri" w:hAnsi="Calibri" w:cs="Calibri"/>
              </w:rPr>
              <w:t>men and younger wome</w:t>
            </w:r>
            <w:r w:rsidR="00651BCD">
              <w:rPr>
                <w:rFonts w:ascii="Calibri" w:hAnsi="Calibri" w:cs="Calibri"/>
              </w:rPr>
              <w:t xml:space="preserve">n </w:t>
            </w:r>
            <w:r>
              <w:rPr>
                <w:rFonts w:ascii="Calibri" w:hAnsi="Calibri" w:cs="Calibri"/>
              </w:rPr>
              <w:t>post-</w:t>
            </w:r>
            <w:r w:rsidR="00651BCD">
              <w:rPr>
                <w:rFonts w:ascii="Calibri" w:hAnsi="Calibri" w:cs="Calibri"/>
              </w:rPr>
              <w:t xml:space="preserve">fracture. </w:t>
            </w:r>
            <w:r w:rsidR="00FC6397">
              <w:rPr>
                <w:rFonts w:ascii="Calibri" w:hAnsi="Calibri" w:cs="Calibri"/>
              </w:rPr>
              <w:t>F</w:t>
            </w:r>
            <w:r w:rsidR="00651BCD">
              <w:rPr>
                <w:rFonts w:ascii="Calibri" w:hAnsi="Calibri" w:cs="Calibri"/>
              </w:rPr>
              <w:t xml:space="preserve">or </w:t>
            </w:r>
            <w:r w:rsidR="00700FDA">
              <w:rPr>
                <w:rFonts w:ascii="Calibri" w:hAnsi="Calibri" w:cs="Calibri"/>
              </w:rPr>
              <w:t>women</w:t>
            </w:r>
            <w:r w:rsidR="00700FDA" w:rsidRPr="006D21D7">
              <w:rPr>
                <w:rFonts w:ascii="Calibri" w:hAnsi="Calibri" w:cs="Calibri"/>
              </w:rPr>
              <w:t xml:space="preserve"> </w:t>
            </w:r>
            <w:r w:rsidR="00DE11DE" w:rsidRPr="006D21D7">
              <w:rPr>
                <w:rFonts w:ascii="Calibri" w:hAnsi="Calibri" w:cs="Calibri"/>
              </w:rPr>
              <w:t xml:space="preserve">already targeted by </w:t>
            </w:r>
            <w:r w:rsidR="00651BCD">
              <w:rPr>
                <w:rFonts w:ascii="Calibri" w:hAnsi="Calibri" w:cs="Calibri"/>
              </w:rPr>
              <w:t xml:space="preserve">existing HEDIS </w:t>
            </w:r>
            <w:r w:rsidR="00DE11DE" w:rsidRPr="006D21D7">
              <w:rPr>
                <w:rFonts w:ascii="Calibri" w:hAnsi="Calibri" w:cs="Calibri"/>
              </w:rPr>
              <w:t>screen-or-treat efforts</w:t>
            </w:r>
            <w:r w:rsidR="00651BCD">
              <w:rPr>
                <w:rFonts w:ascii="Calibri" w:hAnsi="Calibri" w:cs="Calibri"/>
              </w:rPr>
              <w:t>, treatment rates did not increase</w:t>
            </w:r>
            <w:r w:rsidR="00700FDA">
              <w:rPr>
                <w:rFonts w:ascii="Calibri" w:hAnsi="Calibri" w:cs="Calibri"/>
              </w:rPr>
              <w:t xml:space="preserve"> but adherence improved 10%</w:t>
            </w:r>
            <w:r w:rsidR="00651BCD">
              <w:rPr>
                <w:rFonts w:ascii="Calibri" w:hAnsi="Calibri" w:cs="Calibri"/>
              </w:rPr>
              <w:t xml:space="preserve">. </w:t>
            </w:r>
          </w:p>
          <w:p w14:paraId="553D0704" w14:textId="77777777" w:rsidR="00700FDA" w:rsidRPr="00700FDA" w:rsidRDefault="00700FDA" w:rsidP="00CF0772">
            <w:pPr>
              <w:rPr>
                <w:rFonts w:ascii="Calibri" w:hAnsi="Calibri" w:cs="Calibri"/>
                <w:sz w:val="8"/>
              </w:rPr>
            </w:pPr>
          </w:p>
          <w:p w14:paraId="5817AED5" w14:textId="6AB46F8F" w:rsidR="00DE11DE" w:rsidRDefault="004F1DD4" w:rsidP="00CF0772">
            <w:r>
              <w:t>[2]  P</w:t>
            </w:r>
            <w:r w:rsidR="00A866B5">
              <w:t xml:space="preserve">ost-fracture treatment for </w:t>
            </w:r>
            <w:r w:rsidR="00651BCD">
              <w:t xml:space="preserve">Black </w:t>
            </w:r>
            <w:r w:rsidR="00DE11DE">
              <w:t xml:space="preserve">women </w:t>
            </w:r>
            <w:r w:rsidR="00A866B5">
              <w:t>is</w:t>
            </w:r>
            <w:r w:rsidR="00DE11DE">
              <w:t xml:space="preserve"> 40% </w:t>
            </w:r>
            <w:r w:rsidR="006D482B">
              <w:t xml:space="preserve">lower </w:t>
            </w:r>
            <w:r w:rsidR="00DE11DE">
              <w:t xml:space="preserve">than </w:t>
            </w:r>
            <w:r w:rsidR="00A866B5">
              <w:t xml:space="preserve">White </w:t>
            </w:r>
            <w:r w:rsidR="00DE11DE">
              <w:t>counterparts.</w:t>
            </w:r>
          </w:p>
          <w:p w14:paraId="2604E82C" w14:textId="77777777" w:rsidR="00700FDA" w:rsidRPr="00700FDA" w:rsidRDefault="00700FDA" w:rsidP="00CF0772">
            <w:pPr>
              <w:rPr>
                <w:sz w:val="8"/>
              </w:rPr>
            </w:pPr>
          </w:p>
          <w:p w14:paraId="3CD35CB0" w14:textId="3B40778D" w:rsidR="00583E6C" w:rsidRPr="008A7C90" w:rsidRDefault="004F1DD4" w:rsidP="00CF0772">
            <w:r>
              <w:t>[3]  E</w:t>
            </w:r>
            <w:r w:rsidR="00583E6C">
              <w:t>ndocrinologist</w:t>
            </w:r>
            <w:r>
              <w:t xml:space="preserve"> attitudes</w:t>
            </w:r>
            <w:r w:rsidR="00583E6C">
              <w:t xml:space="preserve"> are aligned with HEDIS goals and </w:t>
            </w:r>
            <w:r w:rsidR="006D482B">
              <w:t>h</w:t>
            </w:r>
            <w:r w:rsidR="00583E6C">
              <w:t>igh-</w:t>
            </w:r>
            <w:r w:rsidR="006D482B">
              <w:t>r</w:t>
            </w:r>
            <w:r w:rsidR="00583E6C">
              <w:t xml:space="preserve">isk fracture </w:t>
            </w:r>
            <w:r w:rsidR="006D482B">
              <w:t xml:space="preserve">outreach efforts, </w:t>
            </w:r>
            <w:r w:rsidR="00583E6C">
              <w:t xml:space="preserve">but there is variation in treatment of other fractures depending on the priority </w:t>
            </w:r>
            <w:r w:rsidR="006D482B">
              <w:t xml:space="preserve">of </w:t>
            </w:r>
            <w:r w:rsidR="00583E6C">
              <w:t xml:space="preserve">bone density vs FRAX. </w:t>
            </w:r>
            <w:r w:rsidR="00203AEB">
              <w:t>Treatment patterns for primary prevention are also variable.</w:t>
            </w:r>
          </w:p>
        </w:tc>
      </w:tr>
      <w:tr w:rsidR="0048655A" w:rsidRPr="008A7C90" w14:paraId="62542513" w14:textId="77777777" w:rsidTr="00D836DC">
        <w:trPr>
          <w:trHeight w:val="4238"/>
        </w:trPr>
        <w:tc>
          <w:tcPr>
            <w:tcW w:w="1975" w:type="dxa"/>
          </w:tcPr>
          <w:p w14:paraId="38755ADC" w14:textId="77777777" w:rsidR="0048655A" w:rsidRPr="00EF635D" w:rsidRDefault="0048655A" w:rsidP="00CF0772">
            <w:pPr>
              <w:rPr>
                <w:b/>
                <w:bCs/>
              </w:rPr>
            </w:pPr>
            <w:r w:rsidRPr="00EF635D">
              <w:rPr>
                <w:b/>
                <w:bCs/>
              </w:rPr>
              <w:t>Resulting Action/Change</w:t>
            </w:r>
          </w:p>
        </w:tc>
        <w:tc>
          <w:tcPr>
            <w:tcW w:w="8730" w:type="dxa"/>
          </w:tcPr>
          <w:p w14:paraId="19A9148E" w14:textId="506E25DB" w:rsidR="003A5326" w:rsidRPr="00CB1098" w:rsidRDefault="00CB1098" w:rsidP="00CF0772">
            <w:r>
              <w:t>[</w:t>
            </w:r>
            <w:r w:rsidR="004F1DD4">
              <w:t>1</w:t>
            </w:r>
            <w:r>
              <w:t xml:space="preserve">]  </w:t>
            </w:r>
            <w:r w:rsidR="006D482B" w:rsidRPr="00CB1098">
              <w:t xml:space="preserve">Results underscore </w:t>
            </w:r>
            <w:r w:rsidR="006D482B">
              <w:t xml:space="preserve">the </w:t>
            </w:r>
            <w:r w:rsidR="006D482B" w:rsidRPr="00CB1098">
              <w:t xml:space="preserve">need to examine barriers to treatment </w:t>
            </w:r>
            <w:r w:rsidR="006D482B">
              <w:t xml:space="preserve">after a </w:t>
            </w:r>
            <w:r w:rsidR="006D482B" w:rsidRPr="00CB1098">
              <w:t xml:space="preserve">high-risk </w:t>
            </w:r>
            <w:r w:rsidR="006D482B">
              <w:t>fracture.</w:t>
            </w:r>
          </w:p>
          <w:p w14:paraId="42EFB39B" w14:textId="43DA035E" w:rsidR="00CB1098" w:rsidRPr="00CB1098" w:rsidRDefault="006D482B" w:rsidP="00CF0772">
            <w:pPr>
              <w:pStyle w:val="ListParagraph"/>
              <w:numPr>
                <w:ilvl w:val="0"/>
                <w:numId w:val="1"/>
              </w:numPr>
              <w:ind w:left="612" w:hanging="270"/>
            </w:pPr>
            <w:r w:rsidRPr="00CB1098">
              <w:t>A</w:t>
            </w:r>
            <w:r w:rsidR="004F1DD4">
              <w:t>s a result of this work, a</w:t>
            </w:r>
            <w:r w:rsidRPr="00CB1098">
              <w:t xml:space="preserve">n Osteoporosis Subcommittee is being </w:t>
            </w:r>
            <w:r w:rsidR="007743D1">
              <w:t>formed</w:t>
            </w:r>
            <w:r w:rsidRPr="00CB1098">
              <w:t xml:space="preserve"> in the Endocrine Chiefs Group to support </w:t>
            </w:r>
            <w:r w:rsidR="007D0BBC">
              <w:t xml:space="preserve">efforts towards </w:t>
            </w:r>
            <w:r w:rsidR="007743D1">
              <w:t xml:space="preserve">osteoporosis care </w:t>
            </w:r>
            <w:r w:rsidRPr="00CB1098">
              <w:t>consensus</w:t>
            </w:r>
            <w:r w:rsidR="007D0BBC">
              <w:t>.</w:t>
            </w:r>
          </w:p>
          <w:p w14:paraId="67C22AC6" w14:textId="2CE3A747" w:rsidR="00CB1098" w:rsidRDefault="007D0BBC" w:rsidP="00CF0772">
            <w:pPr>
              <w:pStyle w:val="ListParagraph"/>
              <w:numPr>
                <w:ilvl w:val="0"/>
                <w:numId w:val="1"/>
              </w:numPr>
              <w:ind w:left="612" w:hanging="270"/>
            </w:pPr>
            <w:r>
              <w:t xml:space="preserve">Both the </w:t>
            </w:r>
            <w:r w:rsidR="00352203">
              <w:t xml:space="preserve">Fracture Prevention Consultant Group and Osteoporosis </w:t>
            </w:r>
            <w:r>
              <w:t xml:space="preserve">Subcommittee will work on </w:t>
            </w:r>
            <w:r w:rsidR="00352203">
              <w:t>optimizing the osteoporosis care of older African American adults</w:t>
            </w:r>
            <w:r>
              <w:t>, based on differences highlighted in this study. Care gaps will be identified and addressed.</w:t>
            </w:r>
          </w:p>
          <w:p w14:paraId="2D6D14BA" w14:textId="77777777" w:rsidR="00700FDA" w:rsidRPr="00700FDA" w:rsidRDefault="00700FDA" w:rsidP="00CF0772">
            <w:pPr>
              <w:rPr>
                <w:sz w:val="8"/>
              </w:rPr>
            </w:pPr>
          </w:p>
          <w:p w14:paraId="7278E396" w14:textId="477BE154" w:rsidR="00CB1098" w:rsidRDefault="00CB1098" w:rsidP="00CF0772">
            <w:r>
              <w:t>[</w:t>
            </w:r>
            <w:r w:rsidR="007D0BBC">
              <w:t>2</w:t>
            </w:r>
            <w:r>
              <w:t xml:space="preserve">] </w:t>
            </w:r>
            <w:r w:rsidR="00EF6F0F">
              <w:t xml:space="preserve"> </w:t>
            </w:r>
            <w:r w:rsidR="007D0BBC">
              <w:t xml:space="preserve">Study analyses </w:t>
            </w:r>
            <w:r w:rsidR="00FC6397">
              <w:t xml:space="preserve">are </w:t>
            </w:r>
            <w:r w:rsidR="007D0BBC">
              <w:t xml:space="preserve">planned </w:t>
            </w:r>
            <w:r w:rsidR="00D836DC">
              <w:t xml:space="preserve">to examine </w:t>
            </w:r>
            <w:r w:rsidR="007D0BBC">
              <w:t xml:space="preserve">Black women who fracture, including investigation of </w:t>
            </w:r>
            <w:r w:rsidR="00BF06B5" w:rsidRPr="001E11BC">
              <w:t>bone density</w:t>
            </w:r>
            <w:r w:rsidR="00BF06B5">
              <w:t xml:space="preserve"> and </w:t>
            </w:r>
            <w:r w:rsidR="00D836DC">
              <w:t xml:space="preserve">FRAX scores </w:t>
            </w:r>
            <w:r w:rsidR="007D0BBC">
              <w:t>to see</w:t>
            </w:r>
            <w:r w:rsidR="00203AEB">
              <w:t xml:space="preserve"> </w:t>
            </w:r>
            <w:r w:rsidR="00FC6397">
              <w:t>which</w:t>
            </w:r>
            <w:r w:rsidR="00203AEB">
              <w:t xml:space="preserve"> factors</w:t>
            </w:r>
            <w:r w:rsidR="00FC6397">
              <w:t xml:space="preserve"> </w:t>
            </w:r>
            <w:r w:rsidR="00203AEB">
              <w:t>might be</w:t>
            </w:r>
            <w:r w:rsidR="00FC6397">
              <w:t xml:space="preserve"> driving</w:t>
            </w:r>
            <w:r w:rsidR="00203AEB">
              <w:t xml:space="preserve"> the</w:t>
            </w:r>
            <w:r w:rsidR="00FC6397">
              <w:t xml:space="preserve"> lack of treatment</w:t>
            </w:r>
            <w:r w:rsidR="00BF06B5" w:rsidRPr="001E11BC">
              <w:t xml:space="preserve">. </w:t>
            </w:r>
          </w:p>
          <w:p w14:paraId="1DE9E5D2" w14:textId="77777777" w:rsidR="00700FDA" w:rsidRPr="00700FDA" w:rsidRDefault="00700FDA" w:rsidP="00CF0772">
            <w:pPr>
              <w:rPr>
                <w:sz w:val="8"/>
              </w:rPr>
            </w:pPr>
          </w:p>
          <w:p w14:paraId="2FB7C969" w14:textId="76802197" w:rsidR="00BF06B5" w:rsidRDefault="00CB1098" w:rsidP="00CF0772">
            <w:r>
              <w:t>[</w:t>
            </w:r>
            <w:r w:rsidR="007D0BBC">
              <w:t>3</w:t>
            </w:r>
            <w:r>
              <w:t xml:space="preserve">] </w:t>
            </w:r>
            <w:r w:rsidR="00EF6F0F">
              <w:t xml:space="preserve"> </w:t>
            </w:r>
            <w:r w:rsidR="00352203">
              <w:t>Variation in attitudes</w:t>
            </w:r>
            <w:r w:rsidR="007D0BBC">
              <w:t xml:space="preserve"> of</w:t>
            </w:r>
            <w:r w:rsidR="00352203">
              <w:t xml:space="preserve"> Endocrine specialists has prompted revision to </w:t>
            </w:r>
            <w:r w:rsidR="007D0BBC">
              <w:t>FRAX-On-A-Page.</w:t>
            </w:r>
          </w:p>
          <w:p w14:paraId="0FD48B4A" w14:textId="77777777" w:rsidR="00700FDA" w:rsidRPr="00700FDA" w:rsidRDefault="00700FDA" w:rsidP="00CF0772">
            <w:pPr>
              <w:rPr>
                <w:sz w:val="8"/>
              </w:rPr>
            </w:pPr>
          </w:p>
          <w:p w14:paraId="75843073" w14:textId="6A8725D6" w:rsidR="003A5326" w:rsidRPr="00CB1098" w:rsidRDefault="00CB1098" w:rsidP="00CF0772">
            <w:r>
              <w:t>[</w:t>
            </w:r>
            <w:r w:rsidR="007D0BBC">
              <w:t>4</w:t>
            </w:r>
            <w:r>
              <w:t xml:space="preserve">] </w:t>
            </w:r>
            <w:r w:rsidR="00EF6F0F">
              <w:t xml:space="preserve"> </w:t>
            </w:r>
            <w:r w:rsidR="003A38B4">
              <w:t xml:space="preserve">As a result of this work, </w:t>
            </w:r>
            <w:r w:rsidR="00BF06B5">
              <w:t>TPMG Consulting has implemented t</w:t>
            </w:r>
            <w:r w:rsidR="003A5326" w:rsidRPr="00CB1098">
              <w:t xml:space="preserve">racking of </w:t>
            </w:r>
            <w:r w:rsidR="007D0BBC">
              <w:t>patients who are outreached</w:t>
            </w:r>
            <w:r w:rsidR="003A38B4">
              <w:t>, supporting quality efforts and future tracking of</w:t>
            </w:r>
            <w:r w:rsidR="007D0BBC">
              <w:t xml:space="preserve"> </w:t>
            </w:r>
            <w:r w:rsidR="003A38B4">
              <w:t xml:space="preserve">subsequent </w:t>
            </w:r>
            <w:r w:rsidR="007D0BBC">
              <w:t xml:space="preserve">fracture outcomes. </w:t>
            </w:r>
          </w:p>
          <w:p w14:paraId="0A68C702" w14:textId="77777777" w:rsidR="00700FDA" w:rsidRPr="00700FDA" w:rsidRDefault="00700FDA" w:rsidP="00CF0772">
            <w:pPr>
              <w:rPr>
                <w:sz w:val="8"/>
              </w:rPr>
            </w:pPr>
          </w:p>
          <w:p w14:paraId="092B6F29" w14:textId="7EAA678F" w:rsidR="009D1401" w:rsidRPr="00CB1098" w:rsidRDefault="007D0BBC" w:rsidP="00CF0772">
            <w:r>
              <w:t>[5]</w:t>
            </w:r>
            <w:r w:rsidR="00EF6F0F">
              <w:t xml:space="preserve"> </w:t>
            </w:r>
            <w:r>
              <w:t xml:space="preserve"> </w:t>
            </w:r>
            <w:r w:rsidR="009D1401" w:rsidRPr="00CB1098">
              <w:t xml:space="preserve">Patient hesitancy </w:t>
            </w:r>
            <w:r>
              <w:t xml:space="preserve">towards osteoporosis </w:t>
            </w:r>
            <w:r w:rsidR="009D1401" w:rsidRPr="00CB1098">
              <w:t xml:space="preserve">treatment comes from </w:t>
            </w:r>
            <w:r>
              <w:t>misguided information about bisphosphonate drugs and adverse events. Members of this team are involved in</w:t>
            </w:r>
            <w:r w:rsidR="00FC6397">
              <w:t xml:space="preserve"> a</w:t>
            </w:r>
            <w:r>
              <w:t xml:space="preserve"> </w:t>
            </w:r>
            <w:r w:rsidR="009D1401" w:rsidRPr="00CB1098">
              <w:t>joint statement between Endocrinolog</w:t>
            </w:r>
            <w:r w:rsidR="002B604D">
              <w:t>y</w:t>
            </w:r>
            <w:r w:rsidR="009D1401" w:rsidRPr="00CB1098">
              <w:t xml:space="preserve"> and Or</w:t>
            </w:r>
            <w:r>
              <w:t xml:space="preserve">al </w:t>
            </w:r>
            <w:r w:rsidR="002B604D">
              <w:t>M</w:t>
            </w:r>
            <w:r w:rsidR="009D1401" w:rsidRPr="00CB1098">
              <w:t>axillof</w:t>
            </w:r>
            <w:r>
              <w:t xml:space="preserve">acial </w:t>
            </w:r>
            <w:r w:rsidR="002B604D">
              <w:t>Surgery</w:t>
            </w:r>
            <w:r w:rsidR="009D1401" w:rsidRPr="00CB1098">
              <w:t xml:space="preserve"> explaining the risk</w:t>
            </w:r>
            <w:r w:rsidR="00FC6397">
              <w:t>.</w:t>
            </w:r>
          </w:p>
        </w:tc>
      </w:tr>
      <w:tr w:rsidR="00CB0455" w:rsidRPr="008A7C90" w14:paraId="57800790" w14:textId="77777777" w:rsidTr="00D836DC">
        <w:trPr>
          <w:trHeight w:val="620"/>
        </w:trPr>
        <w:tc>
          <w:tcPr>
            <w:tcW w:w="1975" w:type="dxa"/>
          </w:tcPr>
          <w:p w14:paraId="6C4E04AC" w14:textId="161310DB" w:rsidR="00CB0455" w:rsidRPr="00EB0401" w:rsidRDefault="00CB0455" w:rsidP="00CF0772">
            <w:r w:rsidRPr="00EB0401">
              <w:t>Additional Recommendations</w:t>
            </w:r>
          </w:p>
        </w:tc>
        <w:tc>
          <w:tcPr>
            <w:tcW w:w="8730" w:type="dxa"/>
          </w:tcPr>
          <w:p w14:paraId="08163871" w14:textId="3A1D07C4" w:rsidR="00CB0455" w:rsidRPr="00EB0401" w:rsidRDefault="009D1401" w:rsidP="00CF0772">
            <w:r>
              <w:t xml:space="preserve">Operational leaders can consider </w:t>
            </w:r>
            <w:r w:rsidR="007D0BBC">
              <w:t xml:space="preserve">future studies that examine </w:t>
            </w:r>
            <w:r w:rsidR="00700FDA">
              <w:t xml:space="preserve">fracture outcomes, especially after interventions that are associated with higher </w:t>
            </w:r>
            <w:r w:rsidR="00CD6CB3">
              <w:t xml:space="preserve">treatment </w:t>
            </w:r>
            <w:r w:rsidR="00700FDA">
              <w:t>rates and greater adherence.</w:t>
            </w:r>
          </w:p>
        </w:tc>
      </w:tr>
      <w:tr w:rsidR="0048655A" w:rsidRPr="008A7C90" w14:paraId="21F6FB6D" w14:textId="77777777" w:rsidTr="00D836DC">
        <w:trPr>
          <w:trHeight w:val="620"/>
        </w:trPr>
        <w:tc>
          <w:tcPr>
            <w:tcW w:w="1975" w:type="dxa"/>
          </w:tcPr>
          <w:p w14:paraId="511F380C" w14:textId="77777777" w:rsidR="0048655A" w:rsidRPr="008A7C90" w:rsidRDefault="0048655A" w:rsidP="00CF0772">
            <w:r w:rsidRPr="008A7C90">
              <w:t>Implementation Tools</w:t>
            </w:r>
            <w:r w:rsidRPr="008A7C90">
              <w:tab/>
            </w:r>
          </w:p>
        </w:tc>
        <w:tc>
          <w:tcPr>
            <w:tcW w:w="8730" w:type="dxa"/>
          </w:tcPr>
          <w:p w14:paraId="2389D5C5" w14:textId="78158F82" w:rsidR="0048655A" w:rsidRDefault="009D1401" w:rsidP="00CF0772">
            <w:r>
              <w:t>F</w:t>
            </w:r>
            <w:r w:rsidR="00D836DC">
              <w:t>RAX-O</w:t>
            </w:r>
            <w:r>
              <w:t>n</w:t>
            </w:r>
            <w:r w:rsidR="00D836DC">
              <w:t>-</w:t>
            </w:r>
            <w:r>
              <w:t>a</w:t>
            </w:r>
            <w:r w:rsidR="00D836DC">
              <w:t>-</w:t>
            </w:r>
            <w:r>
              <w:t>Page</w:t>
            </w:r>
            <w:r w:rsidR="009C6D4C">
              <w:t xml:space="preserve"> revision</w:t>
            </w:r>
          </w:p>
          <w:p w14:paraId="35B5FEA6" w14:textId="2228D983" w:rsidR="003A5326" w:rsidRPr="008A7C90" w:rsidRDefault="00203AEB" w:rsidP="00CF0772">
            <w:r>
              <w:t>(ad hoc) clinical practice recommendations</w:t>
            </w:r>
            <w:r w:rsidR="00405978">
              <w:t xml:space="preserve"> (in process)</w:t>
            </w:r>
          </w:p>
        </w:tc>
      </w:tr>
      <w:tr w:rsidR="0048655A" w:rsidRPr="008A7C90" w14:paraId="02D4678D" w14:textId="77777777" w:rsidTr="00D836DC">
        <w:trPr>
          <w:trHeight w:val="620"/>
        </w:trPr>
        <w:tc>
          <w:tcPr>
            <w:tcW w:w="1975" w:type="dxa"/>
          </w:tcPr>
          <w:p w14:paraId="1B184543" w14:textId="77777777" w:rsidR="0048655A" w:rsidRPr="008A7C90" w:rsidRDefault="0048655A" w:rsidP="00CF0772">
            <w:r w:rsidRPr="008A7C90">
              <w:t>Implementation Measurement</w:t>
            </w:r>
          </w:p>
        </w:tc>
        <w:tc>
          <w:tcPr>
            <w:tcW w:w="8730" w:type="dxa"/>
          </w:tcPr>
          <w:p w14:paraId="3C60AB15" w14:textId="6E2F6B34" w:rsidR="00CD6CB3" w:rsidRDefault="00880DAD" w:rsidP="00CF0772">
            <w:r>
              <w:t xml:space="preserve">Percentage of patients who initiate </w:t>
            </w:r>
            <w:r w:rsidR="00700FDA">
              <w:t xml:space="preserve">osteoporosis </w:t>
            </w:r>
            <w:r>
              <w:t>treatment following a fracture</w:t>
            </w:r>
          </w:p>
          <w:p w14:paraId="0D25EBD1" w14:textId="147B4D7F" w:rsidR="0048655A" w:rsidRPr="008A7C90" w:rsidRDefault="00CD6CB3" w:rsidP="00CF0772">
            <w:r>
              <w:t>P</w:t>
            </w:r>
            <w:r w:rsidR="00700FDA">
              <w:t xml:space="preserve">ercentage who persist with treatment, </w:t>
            </w:r>
            <w:r>
              <w:t>percentage with treatment a</w:t>
            </w:r>
            <w:r w:rsidR="00700FDA">
              <w:t>dherence &gt;70%</w:t>
            </w:r>
            <w:r w:rsidR="00FC6397">
              <w:t>.</w:t>
            </w:r>
          </w:p>
        </w:tc>
      </w:tr>
      <w:tr w:rsidR="0048655A" w:rsidRPr="008A7C90" w14:paraId="66558595" w14:textId="77777777" w:rsidTr="00D836DC">
        <w:trPr>
          <w:trHeight w:val="890"/>
        </w:trPr>
        <w:tc>
          <w:tcPr>
            <w:tcW w:w="1975" w:type="dxa"/>
          </w:tcPr>
          <w:p w14:paraId="29954FA9" w14:textId="56FEBC9E" w:rsidR="0048655A" w:rsidRPr="008A7C90" w:rsidRDefault="0048655A" w:rsidP="00CF0772">
            <w:r w:rsidRPr="008A7C90">
              <w:t>Reference</w:t>
            </w:r>
          </w:p>
        </w:tc>
        <w:tc>
          <w:tcPr>
            <w:tcW w:w="8730" w:type="dxa"/>
          </w:tcPr>
          <w:p w14:paraId="10B665F6" w14:textId="70AE7D01" w:rsidR="00880DAD" w:rsidRDefault="00EF6F0F" w:rsidP="00CF0772">
            <w:r>
              <w:t xml:space="preserve">-  </w:t>
            </w:r>
            <w:r w:rsidR="00CF0772">
              <w:t>3 Endocrine Society (</w:t>
            </w:r>
            <w:r w:rsidR="00D10BAC">
              <w:t>2020</w:t>
            </w:r>
            <w:r w:rsidR="00CF0772">
              <w:t>)</w:t>
            </w:r>
            <w:r w:rsidR="00D10BAC">
              <w:t xml:space="preserve"> abstracts; </w:t>
            </w:r>
            <w:r w:rsidR="00CF0772">
              <w:t>1 Academy of Managed Care</w:t>
            </w:r>
            <w:r w:rsidR="00203AEB">
              <w:t xml:space="preserve"> Pharmacy</w:t>
            </w:r>
            <w:r w:rsidR="00CF0772">
              <w:t xml:space="preserve"> (2021) abstract</w:t>
            </w:r>
          </w:p>
          <w:p w14:paraId="7A648AE3" w14:textId="70FE8167" w:rsidR="00CF0772" w:rsidRDefault="00EF6F0F" w:rsidP="00CF0772">
            <w:r>
              <w:t xml:space="preserve">-  </w:t>
            </w:r>
            <w:r w:rsidR="00CF0772">
              <w:t>2 Internal (2021) TPMG Reports (Fracture Prevention Program; Regional BMD Program)</w:t>
            </w:r>
          </w:p>
          <w:p w14:paraId="722DE921" w14:textId="5A3CFC78" w:rsidR="00CF0772" w:rsidRPr="008A7C90" w:rsidRDefault="00EF6F0F" w:rsidP="00CF0772">
            <w:r>
              <w:t xml:space="preserve">-  </w:t>
            </w:r>
            <w:r w:rsidR="00CF0772">
              <w:t>1 TPMG Endocrinology Survey Report (</w:t>
            </w:r>
            <w:r w:rsidR="00203AEB">
              <w:t xml:space="preserve">conducted 2019, reported </w:t>
            </w:r>
            <w:r w:rsidR="00CF0772">
              <w:t>2020-2021)</w:t>
            </w:r>
          </w:p>
        </w:tc>
      </w:tr>
      <w:bookmarkEnd w:id="0"/>
    </w:tbl>
    <w:p w14:paraId="62800767" w14:textId="77777777" w:rsidR="00FE6194" w:rsidRPr="00D836DC" w:rsidRDefault="00FE6194" w:rsidP="00D836DC">
      <w:pPr>
        <w:spacing w:after="0" w:line="240" w:lineRule="auto"/>
        <w:rPr>
          <w:sz w:val="2"/>
        </w:rPr>
      </w:pPr>
    </w:p>
    <w:sectPr w:rsidR="00FE6194" w:rsidRPr="00D836DC" w:rsidSect="00D24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D6067"/>
    <w:multiLevelType w:val="hybridMultilevel"/>
    <w:tmpl w:val="D0083B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0"/>
    <w:rsid w:val="000319CA"/>
    <w:rsid w:val="000811DB"/>
    <w:rsid w:val="001D52BB"/>
    <w:rsid w:val="001E348B"/>
    <w:rsid w:val="00203AEB"/>
    <w:rsid w:val="002A1A00"/>
    <w:rsid w:val="002B604D"/>
    <w:rsid w:val="002C77AE"/>
    <w:rsid w:val="003061D6"/>
    <w:rsid w:val="0031051B"/>
    <w:rsid w:val="00352203"/>
    <w:rsid w:val="003A38B4"/>
    <w:rsid w:val="003A5326"/>
    <w:rsid w:val="003D755D"/>
    <w:rsid w:val="003E27D1"/>
    <w:rsid w:val="003E34C5"/>
    <w:rsid w:val="00405978"/>
    <w:rsid w:val="0048655A"/>
    <w:rsid w:val="004F1DD4"/>
    <w:rsid w:val="00514319"/>
    <w:rsid w:val="005646E1"/>
    <w:rsid w:val="00583E6C"/>
    <w:rsid w:val="005844CD"/>
    <w:rsid w:val="00606FDD"/>
    <w:rsid w:val="00651BCD"/>
    <w:rsid w:val="006D21D7"/>
    <w:rsid w:val="006D32D2"/>
    <w:rsid w:val="006D482B"/>
    <w:rsid w:val="00700FDA"/>
    <w:rsid w:val="0072563B"/>
    <w:rsid w:val="007743D1"/>
    <w:rsid w:val="00777238"/>
    <w:rsid w:val="007D0BBC"/>
    <w:rsid w:val="008131C8"/>
    <w:rsid w:val="00880DAD"/>
    <w:rsid w:val="008A7C90"/>
    <w:rsid w:val="008E34A5"/>
    <w:rsid w:val="009001F2"/>
    <w:rsid w:val="00906BD4"/>
    <w:rsid w:val="00933309"/>
    <w:rsid w:val="00987AEF"/>
    <w:rsid w:val="009C6D4C"/>
    <w:rsid w:val="009D1401"/>
    <w:rsid w:val="00A16BB1"/>
    <w:rsid w:val="00A866B5"/>
    <w:rsid w:val="00BE1856"/>
    <w:rsid w:val="00BF06B5"/>
    <w:rsid w:val="00C3487D"/>
    <w:rsid w:val="00C4025A"/>
    <w:rsid w:val="00C73A94"/>
    <w:rsid w:val="00CB0455"/>
    <w:rsid w:val="00CB1098"/>
    <w:rsid w:val="00CB45C2"/>
    <w:rsid w:val="00CD6CB3"/>
    <w:rsid w:val="00CF0772"/>
    <w:rsid w:val="00CF4301"/>
    <w:rsid w:val="00D003F1"/>
    <w:rsid w:val="00D10BAC"/>
    <w:rsid w:val="00D14DBD"/>
    <w:rsid w:val="00D24534"/>
    <w:rsid w:val="00D836DC"/>
    <w:rsid w:val="00DD2D1C"/>
    <w:rsid w:val="00DE11DE"/>
    <w:rsid w:val="00EB0401"/>
    <w:rsid w:val="00EF635D"/>
    <w:rsid w:val="00EF6F0F"/>
    <w:rsid w:val="00F53E41"/>
    <w:rsid w:val="00FC6397"/>
    <w:rsid w:val="00FE6194"/>
    <w:rsid w:val="0B4BE6C0"/>
    <w:rsid w:val="1A557A28"/>
    <w:rsid w:val="30BD5087"/>
    <w:rsid w:val="4E55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87FD"/>
  <w15:chartTrackingRefBased/>
  <w15:docId w15:val="{9FC22822-AC04-437A-95FB-02AB679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C90"/>
  </w:style>
  <w:style w:type="paragraph" w:styleId="Heading1">
    <w:name w:val="heading 1"/>
    <w:basedOn w:val="Normal"/>
    <w:next w:val="Normal"/>
    <w:link w:val="Heading1Char"/>
    <w:uiPriority w:val="9"/>
    <w:qFormat/>
    <w:rsid w:val="008A7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9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6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6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6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6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4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2B8E45-4B7B-44CA-883D-6EABF409C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59FD91-90A0-4BF9-9DF2-1C0F17F1EFC8}"/>
</file>

<file path=customXml/itemProps3.xml><?xml version="1.0" encoding="utf-8"?>
<ds:datastoreItem xmlns:ds="http://schemas.openxmlformats.org/officeDocument/2006/customXml" ds:itemID="{AC888A28-5B10-48BE-B8D6-480C75C53C84}">
  <ds:schemaRefs>
    <ds:schemaRef ds:uri="http://schemas.microsoft.com/office/2006/documentManagement/types"/>
    <ds:schemaRef ds:uri="http://www.w3.org/XML/1998/namespace"/>
    <ds:schemaRef ds:uri="http://purl.org/dc/elements/1.1/"/>
    <ds:schemaRef ds:uri="04c69e7e-30dd-4fc4-b8bc-afeef48eb057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Natalie Au</cp:lastModifiedBy>
  <cp:revision>2</cp:revision>
  <dcterms:created xsi:type="dcterms:W3CDTF">2024-02-13T20:34:00Z</dcterms:created>
  <dcterms:modified xsi:type="dcterms:W3CDTF">2024-02-13T20:34:00Z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</Properties>
</file>