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10EA" w14:textId="68130E90" w:rsidR="00245565" w:rsidRPr="005A17F0" w:rsidRDefault="00245565" w:rsidP="008E6D2C">
      <w:pPr>
        <w:rPr>
          <w:rFonts w:asciiTheme="majorHAnsi" w:eastAsia="Calibri" w:hAnsiTheme="majorHAnsi" w:cstheme="majorHAnsi"/>
        </w:rPr>
      </w:pPr>
      <w:r w:rsidRPr="005A17F0">
        <w:rPr>
          <w:rFonts w:asciiTheme="majorHAnsi" w:eastAsia="Calibri" w:hAnsiTheme="majorHAnsi" w:cstheme="majorHAnsi"/>
        </w:rPr>
        <w:t>Delivery Science Grants Program</w:t>
      </w:r>
    </w:p>
    <w:p w14:paraId="63129D29" w14:textId="19730765" w:rsidR="00220353" w:rsidRDefault="00220353" w:rsidP="00D24534">
      <w:pPr>
        <w:spacing w:after="0"/>
        <w:rPr>
          <w:rFonts w:ascii="Calibri" w:eastAsia="Calibri" w:hAnsi="Calibri" w:cs="Calibri"/>
          <w:color w:val="4472C4" w:themeColor="accent1"/>
          <w:sz w:val="28"/>
          <w:szCs w:val="28"/>
        </w:rPr>
      </w:pPr>
      <w:r w:rsidRPr="00220353">
        <w:rPr>
          <w:rFonts w:ascii="Calibri" w:eastAsia="Calibri" w:hAnsi="Calibri" w:cs="Calibri"/>
          <w:color w:val="4472C4" w:themeColor="accent1"/>
          <w:sz w:val="28"/>
          <w:szCs w:val="28"/>
        </w:rPr>
        <w:t>A Randomized, Multi-Drug De-Prescribing Intervention did not Change Medication Use or Geriatric-Syndrome Diagnoses</w:t>
      </w:r>
    </w:p>
    <w:p w14:paraId="6870EC18" w14:textId="77777777" w:rsidR="00220353" w:rsidRDefault="00220353" w:rsidP="00220353">
      <w:pPr>
        <w:spacing w:after="0"/>
      </w:pPr>
      <w:r>
        <w:t xml:space="preserve">Lisa J. </w:t>
      </w:r>
      <w:proofErr w:type="spellStart"/>
      <w:r>
        <w:t>Herrinton</w:t>
      </w:r>
      <w:proofErr w:type="spellEnd"/>
      <w:r>
        <w:t xml:space="preserve">, PhD; </w:t>
      </w:r>
      <w:proofErr w:type="spellStart"/>
      <w:r>
        <w:t>Keras</w:t>
      </w:r>
      <w:proofErr w:type="spellEnd"/>
      <w:r>
        <w:t xml:space="preserve"> Lo, PharmD; </w:t>
      </w:r>
      <w:proofErr w:type="spellStart"/>
      <w:r>
        <w:t>Mubarika</w:t>
      </w:r>
      <w:proofErr w:type="spellEnd"/>
      <w:r>
        <w:t xml:space="preserve"> Alavi, MS; Stacey E. </w:t>
      </w:r>
      <w:proofErr w:type="spellStart"/>
      <w:r>
        <w:t>Alexeeff</w:t>
      </w:r>
      <w:proofErr w:type="spellEnd"/>
      <w:r>
        <w:t xml:space="preserve">, PhD; Kerri M. Butler, PharmD; Carter Chang, MD; Christopher C. Chang, </w:t>
      </w:r>
      <w:proofErr w:type="gramStart"/>
      <w:r>
        <w:t>PharmD;</w:t>
      </w:r>
      <w:proofErr w:type="gramEnd"/>
    </w:p>
    <w:p w14:paraId="5C972018" w14:textId="091F34AB" w:rsidR="00220353" w:rsidRDefault="00220353" w:rsidP="00D24534">
      <w:pPr>
        <w:spacing w:after="0"/>
      </w:pPr>
      <w:r>
        <w:t>Virginia L. Chu, PharmD; Ashok Krishnaswami, MD, MAS; Lynn H. Deguzman, PharmD; Stephanie Prausnitz, MS; Maisha Draves, MD, MPH; Michael D. Mason, MD</w:t>
      </w:r>
    </w:p>
    <w:tbl>
      <w:tblPr>
        <w:tblStyle w:val="TableGrid"/>
        <w:tblpPr w:leftFromText="180" w:rightFromText="180" w:vertAnchor="page" w:horzAnchor="margin" w:tblpY="3301"/>
        <w:tblW w:w="10705" w:type="dxa"/>
        <w:tblLook w:val="04A0" w:firstRow="1" w:lastRow="0" w:firstColumn="1" w:lastColumn="0" w:noHBand="0" w:noVBand="1"/>
      </w:tblPr>
      <w:tblGrid>
        <w:gridCol w:w="1975"/>
        <w:gridCol w:w="8730"/>
      </w:tblGrid>
      <w:tr w:rsidR="00220353" w:rsidRPr="008E6D2C" w14:paraId="5DBE8DE0" w14:textId="77777777" w:rsidTr="00220353">
        <w:trPr>
          <w:trHeight w:val="816"/>
        </w:trPr>
        <w:tc>
          <w:tcPr>
            <w:tcW w:w="1975" w:type="dxa"/>
          </w:tcPr>
          <w:p w14:paraId="5776CAC6" w14:textId="77777777" w:rsidR="00220353" w:rsidRPr="008E6D2C" w:rsidRDefault="00220353" w:rsidP="00220353">
            <w:pPr>
              <w:spacing w:line="259" w:lineRule="auto"/>
            </w:pPr>
            <w:bookmarkStart w:id="0" w:name="_Hlk54105970"/>
            <w:r w:rsidRPr="008E6D2C">
              <w:t>Challenge</w:t>
            </w:r>
          </w:p>
        </w:tc>
        <w:tc>
          <w:tcPr>
            <w:tcW w:w="8730" w:type="dxa"/>
          </w:tcPr>
          <w:p w14:paraId="79533BD8" w14:textId="77777777" w:rsidR="00015D9D" w:rsidRPr="00015D9D" w:rsidRDefault="00015D9D" w:rsidP="00015D9D">
            <w:pPr>
              <w:rPr>
                <w:b/>
                <w:bCs/>
              </w:rPr>
            </w:pPr>
            <w:r w:rsidRPr="00015D9D">
              <w:rPr>
                <w:b/>
                <w:bCs/>
              </w:rPr>
              <w:t>Many older patients use large numbers of medications, which may increase the risk of adverse events without benefit. A proposed deprescribing intervention with pharmacists may help; however, its effectiveness is unknown, it is resource intensive, and it may create</w:t>
            </w:r>
          </w:p>
          <w:p w14:paraId="034DE107" w14:textId="092BB506" w:rsidR="00220353" w:rsidRPr="008E6D2C" w:rsidRDefault="00015D9D" w:rsidP="00015D9D">
            <w:pPr>
              <w:spacing w:line="259" w:lineRule="auto"/>
              <w:rPr>
                <w:b/>
                <w:bCs/>
              </w:rPr>
            </w:pPr>
            <w:r w:rsidRPr="00015D9D">
              <w:rPr>
                <w:b/>
                <w:bCs/>
              </w:rPr>
              <w:t>unanticipated adverse events from stopping medications.</w:t>
            </w:r>
          </w:p>
        </w:tc>
      </w:tr>
      <w:tr w:rsidR="00220353" w:rsidRPr="008E6D2C" w14:paraId="2D358AB2" w14:textId="77777777" w:rsidTr="00220353">
        <w:trPr>
          <w:trHeight w:val="1091"/>
        </w:trPr>
        <w:tc>
          <w:tcPr>
            <w:tcW w:w="1975" w:type="dxa"/>
          </w:tcPr>
          <w:p w14:paraId="7255BD64" w14:textId="77777777" w:rsidR="00220353" w:rsidRPr="008E6D2C" w:rsidRDefault="00220353" w:rsidP="00220353">
            <w:pPr>
              <w:spacing w:line="259" w:lineRule="auto"/>
            </w:pPr>
            <w:r w:rsidRPr="008E6D2C">
              <w:t>Existing Evidence</w:t>
            </w:r>
          </w:p>
        </w:tc>
        <w:tc>
          <w:tcPr>
            <w:tcW w:w="8730" w:type="dxa"/>
          </w:tcPr>
          <w:p w14:paraId="5B41137C" w14:textId="06497D39" w:rsidR="00220353" w:rsidRDefault="00015D9D" w:rsidP="00220353">
            <w:pPr>
              <w:spacing w:line="259" w:lineRule="auto"/>
            </w:pPr>
            <w:r w:rsidRPr="00015D9D">
              <w:t>Deprescribing has been implemented in numerous settings, including currently with Kaiser Permanente, but typically it involves only single drug classes. Using multiple single drug deprescribing efforts is inefficient, but little data exist on the potential beneficial or harmful impacts of “bundled” multi-drug deprescribing strategies.</w:t>
            </w:r>
          </w:p>
          <w:p w14:paraId="5E4F8F33" w14:textId="6A955B34" w:rsidR="00015D9D" w:rsidRPr="00015D9D" w:rsidRDefault="00015D9D" w:rsidP="00015D9D">
            <w:pPr>
              <w:tabs>
                <w:tab w:val="left" w:pos="1650"/>
              </w:tabs>
            </w:pPr>
            <w:r>
              <w:tab/>
            </w:r>
          </w:p>
        </w:tc>
      </w:tr>
      <w:tr w:rsidR="00220353" w:rsidRPr="008E6D2C" w14:paraId="2C05C70C" w14:textId="77777777" w:rsidTr="00220353">
        <w:trPr>
          <w:trHeight w:val="262"/>
        </w:trPr>
        <w:tc>
          <w:tcPr>
            <w:tcW w:w="1975" w:type="dxa"/>
          </w:tcPr>
          <w:p w14:paraId="7A16891B" w14:textId="77777777" w:rsidR="00220353" w:rsidRPr="008E6D2C" w:rsidRDefault="00220353" w:rsidP="00220353">
            <w:pPr>
              <w:spacing w:line="259" w:lineRule="auto"/>
            </w:pPr>
            <w:r w:rsidRPr="008E6D2C">
              <w:t>Target Population</w:t>
            </w:r>
          </w:p>
        </w:tc>
        <w:tc>
          <w:tcPr>
            <w:tcW w:w="8730" w:type="dxa"/>
          </w:tcPr>
          <w:p w14:paraId="4D96C4B9" w14:textId="09407103" w:rsidR="00220353" w:rsidRPr="008E6D2C" w:rsidRDefault="00015D9D" w:rsidP="00220353">
            <w:pPr>
              <w:spacing w:line="259" w:lineRule="auto"/>
            </w:pPr>
            <w:r w:rsidRPr="00015D9D">
              <w:t>KPNC members aged ≥76 years using ≥10 prescription drugs, excluding those with a history of transplant; dialysis; hospice care; or a cancer diagnosis, oncology visits, or cancer treatment within a year</w:t>
            </w:r>
          </w:p>
        </w:tc>
      </w:tr>
      <w:tr w:rsidR="00220353" w:rsidRPr="008E6D2C" w14:paraId="54AF7EE9" w14:textId="77777777" w:rsidTr="00220353">
        <w:trPr>
          <w:trHeight w:val="276"/>
        </w:trPr>
        <w:tc>
          <w:tcPr>
            <w:tcW w:w="1975" w:type="dxa"/>
          </w:tcPr>
          <w:p w14:paraId="74B1E907" w14:textId="77777777" w:rsidR="00220353" w:rsidRPr="008E6D2C" w:rsidRDefault="00220353" w:rsidP="00220353">
            <w:pPr>
              <w:spacing w:line="259" w:lineRule="auto"/>
            </w:pPr>
            <w:r w:rsidRPr="008E6D2C">
              <w:t>Intervention or Exposure</w:t>
            </w:r>
          </w:p>
        </w:tc>
        <w:tc>
          <w:tcPr>
            <w:tcW w:w="8730" w:type="dxa"/>
          </w:tcPr>
          <w:p w14:paraId="6845B14B" w14:textId="528720A2" w:rsidR="00220353" w:rsidRPr="008E6D2C" w:rsidRDefault="00F943A8" w:rsidP="00220353">
            <w:pPr>
              <w:spacing w:line="259" w:lineRule="auto"/>
            </w:pPr>
            <w:r w:rsidRPr="00F943A8">
              <w:t>A randomized trial of bundled multi-drug deprescribing using integrated pharmacist review of &gt;20 drug classes within a single workflow, developed with relevant medical specialists, and using random patient assignment</w:t>
            </w:r>
          </w:p>
        </w:tc>
      </w:tr>
      <w:tr w:rsidR="00220353" w:rsidRPr="008E6D2C" w14:paraId="26A588B2" w14:textId="77777777" w:rsidTr="00220353">
        <w:trPr>
          <w:trHeight w:val="2282"/>
        </w:trPr>
        <w:tc>
          <w:tcPr>
            <w:tcW w:w="1975" w:type="dxa"/>
          </w:tcPr>
          <w:p w14:paraId="6BA4835D" w14:textId="77777777" w:rsidR="00220353" w:rsidRPr="008E6D2C" w:rsidRDefault="00220353" w:rsidP="00220353">
            <w:pPr>
              <w:spacing w:line="259" w:lineRule="auto"/>
              <w:rPr>
                <w:b/>
                <w:bCs/>
              </w:rPr>
            </w:pPr>
            <w:r w:rsidRPr="008E6D2C">
              <w:rPr>
                <w:b/>
                <w:bCs/>
              </w:rPr>
              <w:t>Outcomes/Key Findings</w:t>
            </w:r>
          </w:p>
        </w:tc>
        <w:tc>
          <w:tcPr>
            <w:tcW w:w="8730" w:type="dxa"/>
          </w:tcPr>
          <w:p w14:paraId="4B0DA031" w14:textId="77777777" w:rsidR="00F943A8" w:rsidRDefault="00F943A8" w:rsidP="00F943A8">
            <w:r>
              <w:t>A large pragmatic clinical trial of pharmacist-directed</w:t>
            </w:r>
          </w:p>
          <w:p w14:paraId="64C74BB8" w14:textId="77777777" w:rsidR="00F943A8" w:rsidRDefault="00F943A8" w:rsidP="00F943A8">
            <w:r>
              <w:t>multi-medication evaluation and patient counseling/deprescribing</w:t>
            </w:r>
          </w:p>
          <w:p w14:paraId="4CB0BC77" w14:textId="77777777" w:rsidR="00F943A8" w:rsidRDefault="00F943A8" w:rsidP="00F943A8">
            <w:r>
              <w:t>resulted in:</w:t>
            </w:r>
          </w:p>
          <w:p w14:paraId="333B0D47" w14:textId="77777777" w:rsidR="00F943A8" w:rsidRDefault="00F943A8" w:rsidP="00F943A8">
            <w:r>
              <w:t>• no significant differences at 6-12 months in overall medication use (average within-person change, 0.4 medication, p=0.71)</w:t>
            </w:r>
          </w:p>
          <w:p w14:paraId="7B7933C8" w14:textId="77777777" w:rsidR="00F943A8" w:rsidRDefault="00F943A8" w:rsidP="00F943A8">
            <w:r>
              <w:t>• no beneficial reductions in geriatric syndrome conditions (difference-in-difference, 1.0, p=0.65)</w:t>
            </w:r>
          </w:p>
          <w:p w14:paraId="05323D63" w14:textId="65EFCA8A" w:rsidR="00F943A8" w:rsidRDefault="00F943A8" w:rsidP="00F943A8">
            <w:pPr>
              <w:spacing w:line="259" w:lineRule="auto"/>
            </w:pPr>
            <w:r>
              <w:t>• no increase in adverse effects from discontinuation These results indicate no likely beneficial effect, beyond current pharmacy programs, for this type of intervention.</w:t>
            </w:r>
          </w:p>
          <w:p w14:paraId="21507502" w14:textId="7369B5E2" w:rsidR="00F943A8" w:rsidRPr="00F943A8" w:rsidRDefault="00F943A8" w:rsidP="00F943A8">
            <w:pPr>
              <w:tabs>
                <w:tab w:val="left" w:pos="1875"/>
              </w:tabs>
            </w:pPr>
            <w:r>
              <w:tab/>
            </w:r>
          </w:p>
        </w:tc>
      </w:tr>
      <w:tr w:rsidR="00220353" w:rsidRPr="008E6D2C" w14:paraId="1C04B5E5" w14:textId="77777777" w:rsidTr="00220353">
        <w:trPr>
          <w:trHeight w:val="816"/>
        </w:trPr>
        <w:tc>
          <w:tcPr>
            <w:tcW w:w="1975" w:type="dxa"/>
          </w:tcPr>
          <w:p w14:paraId="3779ECA1" w14:textId="77777777" w:rsidR="00220353" w:rsidRPr="008E6D2C" w:rsidRDefault="00220353" w:rsidP="00220353">
            <w:pPr>
              <w:spacing w:line="259" w:lineRule="auto"/>
              <w:rPr>
                <w:b/>
                <w:bCs/>
              </w:rPr>
            </w:pPr>
            <w:r w:rsidRPr="008E6D2C">
              <w:rPr>
                <w:b/>
                <w:bCs/>
              </w:rPr>
              <w:t>Resulting Action/Change</w:t>
            </w:r>
          </w:p>
        </w:tc>
        <w:tc>
          <w:tcPr>
            <w:tcW w:w="8730" w:type="dxa"/>
          </w:tcPr>
          <w:p w14:paraId="3A6129A5" w14:textId="429F521D" w:rsidR="00220353" w:rsidRDefault="00F943A8" w:rsidP="00220353">
            <w:pPr>
              <w:rPr>
                <w:b/>
                <w:bCs/>
              </w:rPr>
            </w:pPr>
            <w:r w:rsidRPr="00F943A8">
              <w:rPr>
                <w:b/>
                <w:bCs/>
              </w:rPr>
              <w:t>Informed value-based care to not proceed with a planned large, complex intervention that would have required &gt;10 pharmacist equivalent positions and complex coordination between pharmacy and adult &amp; family medicine for full implementation.</w:t>
            </w:r>
          </w:p>
          <w:p w14:paraId="5B77BFC4" w14:textId="3B39FB0E" w:rsidR="00F943A8" w:rsidRPr="00F943A8" w:rsidRDefault="00F943A8" w:rsidP="00F943A8">
            <w:pPr>
              <w:ind w:firstLine="720"/>
            </w:pPr>
          </w:p>
        </w:tc>
      </w:tr>
      <w:tr w:rsidR="00220353" w:rsidRPr="008E6D2C" w14:paraId="0F15F5EC" w14:textId="77777777" w:rsidTr="00220353">
        <w:trPr>
          <w:trHeight w:val="816"/>
        </w:trPr>
        <w:tc>
          <w:tcPr>
            <w:tcW w:w="1975" w:type="dxa"/>
          </w:tcPr>
          <w:p w14:paraId="7BC2D70C" w14:textId="77777777" w:rsidR="00220353" w:rsidRPr="008E6D2C" w:rsidRDefault="00220353" w:rsidP="00220353">
            <w:r w:rsidRPr="008E6D2C">
              <w:t>Additional Recommendations</w:t>
            </w:r>
          </w:p>
        </w:tc>
        <w:tc>
          <w:tcPr>
            <w:tcW w:w="8730" w:type="dxa"/>
          </w:tcPr>
          <w:p w14:paraId="7CC0E4C9" w14:textId="4C5A3860" w:rsidR="00220353" w:rsidRPr="008E6D2C" w:rsidRDefault="00F943A8" w:rsidP="00220353">
            <w:r w:rsidRPr="00F943A8">
              <w:t>Pragmatic trials prior to full implementation are feasible and have clear benefit in understanding effectiveness and to evaluate for potential unanticipated harms.</w:t>
            </w:r>
          </w:p>
        </w:tc>
      </w:tr>
      <w:tr w:rsidR="00220353" w:rsidRPr="008E6D2C" w14:paraId="509C34E7" w14:textId="77777777" w:rsidTr="00220353">
        <w:trPr>
          <w:trHeight w:val="552"/>
        </w:trPr>
        <w:tc>
          <w:tcPr>
            <w:tcW w:w="1975" w:type="dxa"/>
          </w:tcPr>
          <w:p w14:paraId="58881ECC" w14:textId="77777777" w:rsidR="00220353" w:rsidRPr="008E6D2C" w:rsidRDefault="00220353" w:rsidP="00220353">
            <w:pPr>
              <w:spacing w:line="259" w:lineRule="auto"/>
            </w:pPr>
            <w:r w:rsidRPr="008E6D2C">
              <w:t>Implementation Tools</w:t>
            </w:r>
            <w:r w:rsidRPr="008E6D2C">
              <w:tab/>
            </w:r>
          </w:p>
        </w:tc>
        <w:tc>
          <w:tcPr>
            <w:tcW w:w="8730" w:type="dxa"/>
          </w:tcPr>
          <w:p w14:paraId="79125D8F" w14:textId="243355A1" w:rsidR="00220353" w:rsidRPr="008E6D2C" w:rsidRDefault="005A5DAF" w:rsidP="00220353">
            <w:pPr>
              <w:spacing w:line="259" w:lineRule="auto"/>
            </w:pPr>
            <w:r w:rsidRPr="005A5DAF">
              <w:t>Drug protocols, medication discontinuation/continuation guidelines for disease-specific essential conditions, monitoring protocols/variables for adverse effects</w:t>
            </w:r>
          </w:p>
        </w:tc>
      </w:tr>
      <w:tr w:rsidR="00220353" w:rsidRPr="008E6D2C" w14:paraId="48CACB2B" w14:textId="77777777" w:rsidTr="00220353">
        <w:trPr>
          <w:trHeight w:val="552"/>
        </w:trPr>
        <w:tc>
          <w:tcPr>
            <w:tcW w:w="1975" w:type="dxa"/>
          </w:tcPr>
          <w:p w14:paraId="13A668CC" w14:textId="77777777" w:rsidR="00220353" w:rsidRPr="008E6D2C" w:rsidRDefault="00220353" w:rsidP="00220353">
            <w:pPr>
              <w:spacing w:line="259" w:lineRule="auto"/>
            </w:pPr>
            <w:r w:rsidRPr="008E6D2C">
              <w:t>Implementation Measurement</w:t>
            </w:r>
          </w:p>
        </w:tc>
        <w:tc>
          <w:tcPr>
            <w:tcW w:w="8730" w:type="dxa"/>
          </w:tcPr>
          <w:p w14:paraId="720F1CA5" w14:textId="21518359" w:rsidR="00220353" w:rsidRPr="008E6D2C" w:rsidRDefault="00F77D00" w:rsidP="00220353">
            <w:pPr>
              <w:spacing w:line="259" w:lineRule="auto"/>
            </w:pPr>
            <w:r w:rsidRPr="00F77D00">
              <w:t>Drug protocols, medication discontinuation/continuation guidelines for disease-specific essential conditions, monitoring protocols/variables for adverse effects</w:t>
            </w:r>
          </w:p>
        </w:tc>
      </w:tr>
      <w:tr w:rsidR="00220353" w:rsidRPr="008E6D2C" w14:paraId="30D08945" w14:textId="77777777" w:rsidTr="00220353">
        <w:trPr>
          <w:trHeight w:val="538"/>
        </w:trPr>
        <w:tc>
          <w:tcPr>
            <w:tcW w:w="1975" w:type="dxa"/>
          </w:tcPr>
          <w:p w14:paraId="26E119BF" w14:textId="77777777" w:rsidR="00220353" w:rsidRPr="008E6D2C" w:rsidRDefault="00220353" w:rsidP="00220353">
            <w:pPr>
              <w:spacing w:line="259" w:lineRule="auto"/>
            </w:pPr>
            <w:r w:rsidRPr="008E6D2C">
              <w:t>Reference</w:t>
            </w:r>
          </w:p>
        </w:tc>
        <w:tc>
          <w:tcPr>
            <w:tcW w:w="8730" w:type="dxa"/>
          </w:tcPr>
          <w:p w14:paraId="1636E2C1" w14:textId="77777777" w:rsidR="003D553B" w:rsidRDefault="003D553B" w:rsidP="003D553B">
            <w:pPr>
              <w:rPr>
                <w:rFonts w:ascii="Calibri" w:hAnsi="Calibri" w:cs="Calibri"/>
                <w:color w:val="0563C1"/>
                <w:u w:val="single"/>
              </w:rPr>
            </w:pPr>
            <w:hyperlink r:id="rId8" w:history="1">
              <w:r>
                <w:rPr>
                  <w:rStyle w:val="Hyperlink"/>
                  <w:rFonts w:ascii="Calibri" w:hAnsi="Calibri" w:cs="Calibri"/>
                </w:rPr>
                <w:t>https://pubmed.ncbi.nlm.nih.gov/37428504/</w:t>
              </w:r>
            </w:hyperlink>
          </w:p>
          <w:p w14:paraId="24A58829" w14:textId="20A79D14" w:rsidR="00220353" w:rsidRDefault="00090745" w:rsidP="00220353">
            <w:pPr>
              <w:spacing w:line="259" w:lineRule="auto"/>
            </w:pPr>
            <w:r>
              <w:rPr>
                <w:noProof/>
              </w:rPr>
              <w:lastRenderedPageBreak/>
              <w:drawing>
                <wp:inline distT="0" distB="0" distL="0" distR="0" wp14:anchorId="5941CCAD" wp14:editId="388833D2">
                  <wp:extent cx="3710635" cy="2973705"/>
                  <wp:effectExtent l="0" t="0" r="4445" b="0"/>
                  <wp:docPr id="3" name="Picture 3"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ble with numbers and symbol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723530" cy="2984039"/>
                          </a:xfrm>
                          <a:prstGeom prst="rect">
                            <a:avLst/>
                          </a:prstGeom>
                        </pic:spPr>
                      </pic:pic>
                    </a:graphicData>
                  </a:graphic>
                </wp:inline>
              </w:drawing>
            </w:r>
          </w:p>
          <w:p w14:paraId="7D654337" w14:textId="77777777" w:rsidR="00220353" w:rsidRPr="008E6D2C" w:rsidRDefault="00220353" w:rsidP="00220353">
            <w:pPr>
              <w:spacing w:line="259" w:lineRule="auto"/>
            </w:pPr>
            <w:r>
              <w:br/>
            </w:r>
          </w:p>
        </w:tc>
      </w:tr>
      <w:bookmarkEnd w:id="0"/>
    </w:tbl>
    <w:p w14:paraId="62800767" w14:textId="77777777" w:rsidR="00FE6194" w:rsidRDefault="00FE6194" w:rsidP="00C73A94">
      <w:pPr>
        <w:spacing w:after="0"/>
      </w:pPr>
    </w:p>
    <w:sectPr w:rsidR="00FE6194" w:rsidSect="00D24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16B"/>
    <w:multiLevelType w:val="hybridMultilevel"/>
    <w:tmpl w:val="6C76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D0BEF"/>
    <w:multiLevelType w:val="hybridMultilevel"/>
    <w:tmpl w:val="1F6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55843"/>
    <w:multiLevelType w:val="hybridMultilevel"/>
    <w:tmpl w:val="101A04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15D9D"/>
    <w:rsid w:val="000811DB"/>
    <w:rsid w:val="00090745"/>
    <w:rsid w:val="00195B48"/>
    <w:rsid w:val="001D52BB"/>
    <w:rsid w:val="001E348B"/>
    <w:rsid w:val="00220353"/>
    <w:rsid w:val="00231188"/>
    <w:rsid w:val="00245565"/>
    <w:rsid w:val="00247F2C"/>
    <w:rsid w:val="0025283F"/>
    <w:rsid w:val="002A1A00"/>
    <w:rsid w:val="0031051B"/>
    <w:rsid w:val="00397E32"/>
    <w:rsid w:val="003D2210"/>
    <w:rsid w:val="003D553B"/>
    <w:rsid w:val="003D755D"/>
    <w:rsid w:val="003E27D1"/>
    <w:rsid w:val="003E34C5"/>
    <w:rsid w:val="003F7BA4"/>
    <w:rsid w:val="0048655A"/>
    <w:rsid w:val="00514319"/>
    <w:rsid w:val="005A17F0"/>
    <w:rsid w:val="005A5DAF"/>
    <w:rsid w:val="00622747"/>
    <w:rsid w:val="006B34BA"/>
    <w:rsid w:val="006D32D2"/>
    <w:rsid w:val="0072563B"/>
    <w:rsid w:val="00777238"/>
    <w:rsid w:val="007A4365"/>
    <w:rsid w:val="008000FA"/>
    <w:rsid w:val="008131C8"/>
    <w:rsid w:val="00862A95"/>
    <w:rsid w:val="00871F97"/>
    <w:rsid w:val="008A7C90"/>
    <w:rsid w:val="008E6D2C"/>
    <w:rsid w:val="009001F2"/>
    <w:rsid w:val="00900EFE"/>
    <w:rsid w:val="00933309"/>
    <w:rsid w:val="0093550C"/>
    <w:rsid w:val="009F506C"/>
    <w:rsid w:val="00A16BB1"/>
    <w:rsid w:val="00A459FA"/>
    <w:rsid w:val="00BA2786"/>
    <w:rsid w:val="00BF6CF1"/>
    <w:rsid w:val="00C21795"/>
    <w:rsid w:val="00C30915"/>
    <w:rsid w:val="00C3487D"/>
    <w:rsid w:val="00C4025A"/>
    <w:rsid w:val="00C73A94"/>
    <w:rsid w:val="00C867C1"/>
    <w:rsid w:val="00CB0455"/>
    <w:rsid w:val="00CB3C28"/>
    <w:rsid w:val="00CF0025"/>
    <w:rsid w:val="00CF4301"/>
    <w:rsid w:val="00D003F1"/>
    <w:rsid w:val="00D24534"/>
    <w:rsid w:val="00E8740F"/>
    <w:rsid w:val="00EB0401"/>
    <w:rsid w:val="00ED3295"/>
    <w:rsid w:val="00EF635D"/>
    <w:rsid w:val="00EF6EE1"/>
    <w:rsid w:val="00F77D00"/>
    <w:rsid w:val="00F91EB4"/>
    <w:rsid w:val="00F943A8"/>
    <w:rsid w:val="00FE6194"/>
    <w:rsid w:val="00FE6F0A"/>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ListParagraph">
    <w:name w:val="List Paragraph"/>
    <w:basedOn w:val="Normal"/>
    <w:uiPriority w:val="34"/>
    <w:qFormat/>
    <w:rsid w:val="00871F97"/>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9619">
      <w:bodyDiv w:val="1"/>
      <w:marLeft w:val="0"/>
      <w:marRight w:val="0"/>
      <w:marTop w:val="0"/>
      <w:marBottom w:val="0"/>
      <w:divBdr>
        <w:top w:val="none" w:sz="0" w:space="0" w:color="auto"/>
        <w:left w:val="none" w:sz="0" w:space="0" w:color="auto"/>
        <w:bottom w:val="none" w:sz="0" w:space="0" w:color="auto"/>
        <w:right w:val="none" w:sz="0" w:space="0" w:color="auto"/>
      </w:divBdr>
    </w:div>
    <w:div w:id="769273137">
      <w:bodyDiv w:val="1"/>
      <w:marLeft w:val="0"/>
      <w:marRight w:val="0"/>
      <w:marTop w:val="0"/>
      <w:marBottom w:val="0"/>
      <w:divBdr>
        <w:top w:val="none" w:sz="0" w:space="0" w:color="auto"/>
        <w:left w:val="none" w:sz="0" w:space="0" w:color="auto"/>
        <w:bottom w:val="none" w:sz="0" w:space="0" w:color="auto"/>
        <w:right w:val="none" w:sz="0" w:space="0" w:color="auto"/>
      </w:divBdr>
    </w:div>
    <w:div w:id="890268271">
      <w:bodyDiv w:val="1"/>
      <w:marLeft w:val="0"/>
      <w:marRight w:val="0"/>
      <w:marTop w:val="0"/>
      <w:marBottom w:val="0"/>
      <w:divBdr>
        <w:top w:val="none" w:sz="0" w:space="0" w:color="auto"/>
        <w:left w:val="none" w:sz="0" w:space="0" w:color="auto"/>
        <w:bottom w:val="none" w:sz="0" w:space="0" w:color="auto"/>
        <w:right w:val="none" w:sz="0" w:space="0" w:color="auto"/>
      </w:divBdr>
    </w:div>
    <w:div w:id="1557474755">
      <w:bodyDiv w:val="1"/>
      <w:marLeft w:val="0"/>
      <w:marRight w:val="0"/>
      <w:marTop w:val="0"/>
      <w:marBottom w:val="0"/>
      <w:divBdr>
        <w:top w:val="none" w:sz="0" w:space="0" w:color="auto"/>
        <w:left w:val="none" w:sz="0" w:space="0" w:color="auto"/>
        <w:bottom w:val="none" w:sz="0" w:space="0" w:color="auto"/>
        <w:right w:val="none" w:sz="0" w:space="0" w:color="auto"/>
      </w:divBdr>
    </w:div>
    <w:div w:id="1857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742850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2B8E45-4B7B-44CA-883D-6EABF409C33D}">
  <ds:schemaRefs>
    <ds:schemaRef ds:uri="http://schemas.microsoft.com/sharepoint/v3/contenttype/forms"/>
  </ds:schemaRefs>
</ds:datastoreItem>
</file>

<file path=customXml/itemProps2.xml><?xml version="1.0" encoding="utf-8"?>
<ds:datastoreItem xmlns:ds="http://schemas.openxmlformats.org/officeDocument/2006/customXml" ds:itemID="{A5040790-EE26-42C1-BBAC-B31F1C726EC5}"/>
</file>

<file path=customXml/itemProps3.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461</Words>
  <Characters>2652</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10</cp:revision>
  <dcterms:created xsi:type="dcterms:W3CDTF">2024-01-17T18:40:00Z</dcterms:created>
  <dcterms:modified xsi:type="dcterms:W3CDTF">2024-01-17T18:45:00Z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