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97B16" w14:textId="77777777" w:rsidR="00263578" w:rsidRPr="00263578" w:rsidRDefault="00263578" w:rsidP="00263578">
      <w:pPr>
        <w:spacing w:after="0"/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bookmarkStart w:id="0" w:name="_Hlk531942192"/>
      <w:bookmarkEnd w:id="0"/>
      <w:r w:rsidRPr="00263578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Improving Outcomes and Care Experience among Dual Eligible Members: The Role of Health System Factors</w:t>
      </w:r>
    </w:p>
    <w:p w14:paraId="7FCD574A" w14:textId="4659D912" w:rsidR="008A7C90" w:rsidRDefault="00263578" w:rsidP="00D24534">
      <w:pPr>
        <w:spacing w:after="0"/>
      </w:pPr>
      <w:r>
        <w:t xml:space="preserve">Banerjee, Somalee MD, MPH, </w:t>
      </w:r>
      <w:r w:rsidR="00FA546E">
        <w:t>Catherine Lee, PhD, Richard Grant, MD, MPH, Julie Schmittdiel, PhD, Lin Ma, MS, Alyce S. Adams, PhD</w:t>
      </w:r>
    </w:p>
    <w:tbl>
      <w:tblPr>
        <w:tblStyle w:val="TableGrid"/>
        <w:tblpPr w:leftFromText="180" w:rightFromText="180" w:vertAnchor="page" w:horzAnchor="margin" w:tblpY="2581"/>
        <w:tblW w:w="10790" w:type="dxa"/>
        <w:tblLook w:val="04A0" w:firstRow="1" w:lastRow="0" w:firstColumn="1" w:lastColumn="0" w:noHBand="0" w:noVBand="1"/>
      </w:tblPr>
      <w:tblGrid>
        <w:gridCol w:w="1852"/>
        <w:gridCol w:w="8938"/>
      </w:tblGrid>
      <w:tr w:rsidR="0048655A" w:rsidRPr="008A7C90" w14:paraId="307289BF" w14:textId="77777777" w:rsidTr="00EE4FC2">
        <w:trPr>
          <w:trHeight w:val="816"/>
        </w:trPr>
        <w:tc>
          <w:tcPr>
            <w:tcW w:w="1852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1" w:name="_Hlk54105970"/>
            <w:r w:rsidRPr="008A7C90">
              <w:t>Challenge</w:t>
            </w:r>
          </w:p>
        </w:tc>
        <w:tc>
          <w:tcPr>
            <w:tcW w:w="8938" w:type="dxa"/>
          </w:tcPr>
          <w:p w14:paraId="7F9273D4" w14:textId="1F0DEB8F" w:rsidR="0048655A" w:rsidRPr="0031051B" w:rsidRDefault="005B35F9" w:rsidP="576FD25B">
            <w:pPr>
              <w:spacing w:line="259" w:lineRule="auto"/>
              <w:rPr>
                <w:b/>
                <w:bCs/>
              </w:rPr>
            </w:pPr>
            <w:r w:rsidRPr="576FD25B">
              <w:rPr>
                <w:b/>
                <w:bCs/>
              </w:rPr>
              <w:t>The complex health and social needs of dual eligible members</w:t>
            </w:r>
            <w:r w:rsidR="10EA7701" w:rsidRPr="576FD25B">
              <w:rPr>
                <w:b/>
                <w:bCs/>
              </w:rPr>
              <w:t xml:space="preserve"> (e.g. Medi-</w:t>
            </w:r>
            <w:proofErr w:type="spellStart"/>
            <w:r w:rsidR="10EA7701" w:rsidRPr="576FD25B">
              <w:rPr>
                <w:b/>
                <w:bCs/>
              </w:rPr>
              <w:t>cal</w:t>
            </w:r>
            <w:proofErr w:type="spellEnd"/>
            <w:r w:rsidR="10EA7701" w:rsidRPr="576FD25B">
              <w:rPr>
                <w:b/>
                <w:bCs/>
              </w:rPr>
              <w:t xml:space="preserve"> and Medicare)</w:t>
            </w:r>
            <w:r w:rsidRPr="576FD25B">
              <w:rPr>
                <w:b/>
                <w:bCs/>
              </w:rPr>
              <w:t xml:space="preserve"> puts them at higher risk for persistently high health care costs</w:t>
            </w:r>
            <w:r w:rsidR="636FBCD1" w:rsidRPr="576FD25B">
              <w:rPr>
                <w:b/>
                <w:bCs/>
              </w:rPr>
              <w:t xml:space="preserve">, but little is known </w:t>
            </w:r>
            <w:r w:rsidR="3AA6974F" w:rsidRPr="576FD25B">
              <w:rPr>
                <w:b/>
                <w:bCs/>
              </w:rPr>
              <w:t xml:space="preserve">about healthcare outcomes and modifiable drivers of </w:t>
            </w:r>
            <w:r w:rsidR="636FBCD1" w:rsidRPr="576FD25B">
              <w:rPr>
                <w:b/>
                <w:bCs/>
              </w:rPr>
              <w:t>these costs</w:t>
            </w:r>
            <w:r w:rsidRPr="576FD25B">
              <w:rPr>
                <w:b/>
                <w:bCs/>
              </w:rPr>
              <w:t>.</w:t>
            </w:r>
            <w:r w:rsidR="0048655A" w:rsidRPr="576FD25B">
              <w:rPr>
                <w:b/>
                <w:bCs/>
              </w:rPr>
              <w:t xml:space="preserve"> </w:t>
            </w:r>
            <w:r w:rsidR="524591CF" w:rsidRPr="576FD25B">
              <w:rPr>
                <w:b/>
                <w:bCs/>
              </w:rPr>
              <w:t xml:space="preserve"> </w:t>
            </w:r>
            <w:r>
              <w:t>KPNC is developing</w:t>
            </w:r>
            <w:r w:rsidR="00B447DB">
              <w:t xml:space="preserve"> innovative</w:t>
            </w:r>
            <w:r>
              <w:t xml:space="preserve"> intervention</w:t>
            </w:r>
            <w:r w:rsidR="00E727AF">
              <w:t>s</w:t>
            </w:r>
            <w:r w:rsidR="00B447DB">
              <w:t>.</w:t>
            </w:r>
            <w:r>
              <w:t xml:space="preserve"> </w:t>
            </w:r>
            <w:r w:rsidR="0048655A" w:rsidRPr="576FD25B">
              <w:rPr>
                <w:b/>
                <w:bCs/>
              </w:rPr>
              <w:t xml:space="preserve"> </w:t>
            </w:r>
            <w:r w:rsidR="1081E016" w:rsidRPr="576FD25B">
              <w:rPr>
                <w:b/>
                <w:bCs/>
              </w:rPr>
              <w:t xml:space="preserve"> </w:t>
            </w:r>
            <w:r w:rsidR="0212C90A" w:rsidRPr="576FD25B">
              <w:t xml:space="preserve">The proposed study will be </w:t>
            </w:r>
            <w:r w:rsidR="0212C90A" w:rsidRPr="576FD25B">
              <w:rPr>
                <w:u w:val="single"/>
              </w:rPr>
              <w:t>among the first</w:t>
            </w:r>
            <w:r w:rsidR="0212C90A" w:rsidRPr="576FD25B">
              <w:t xml:space="preserve"> to identify health system factors associated with care processes and outcomes among dual </w:t>
            </w:r>
            <w:proofErr w:type="spellStart"/>
            <w:r w:rsidR="0212C90A" w:rsidRPr="576FD25B">
              <w:t>eligibles</w:t>
            </w:r>
            <w:proofErr w:type="spellEnd"/>
            <w:r w:rsidR="0212C90A" w:rsidRPr="576FD25B">
              <w:t xml:space="preserve"> in a capitated health care system overall and across coverage subtypes.</w:t>
            </w:r>
          </w:p>
        </w:tc>
      </w:tr>
      <w:tr w:rsidR="0048655A" w:rsidRPr="008A7C90" w14:paraId="67D435C8" w14:textId="77777777" w:rsidTr="00EE4FC2">
        <w:trPr>
          <w:trHeight w:val="1091"/>
        </w:trPr>
        <w:tc>
          <w:tcPr>
            <w:tcW w:w="1852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938" w:type="dxa"/>
          </w:tcPr>
          <w:p w14:paraId="70041630" w14:textId="71338988" w:rsidR="0048655A" w:rsidRPr="00C43CC5" w:rsidRDefault="00C43CC5" w:rsidP="576FD25B">
            <w:pPr>
              <w:spacing w:before="120"/>
            </w:pPr>
            <w:r w:rsidRPr="576FD25B">
              <w:t xml:space="preserve"> At KPNC, dual </w:t>
            </w:r>
            <w:proofErr w:type="spellStart"/>
            <w:r w:rsidRPr="576FD25B">
              <w:t>eligibles</w:t>
            </w:r>
            <w:proofErr w:type="spellEnd"/>
            <w:r w:rsidRPr="576FD25B">
              <w:t xml:space="preserve"> represent only 4% of all newly enrolled Medicaid members, but account for more than 10% of high cost members.</w:t>
            </w:r>
            <w:r w:rsidR="3189CB4E" w:rsidRPr="576FD25B">
              <w:rPr>
                <w:vertAlign w:val="superscript"/>
              </w:rPr>
              <w:t xml:space="preserve"> 1</w:t>
            </w:r>
            <w:r w:rsidRPr="576FD25B">
              <w:t xml:space="preserve"> Fragmentation of health care services </w:t>
            </w:r>
            <w:r w:rsidR="219EA8FB" w:rsidRPr="576FD25B">
              <w:t xml:space="preserve">may impede care optimization; </w:t>
            </w:r>
            <w:r w:rsidRPr="576FD25B">
              <w:t xml:space="preserve">integrated care </w:t>
            </w:r>
            <w:r w:rsidR="4867C87C" w:rsidRPr="576FD25B">
              <w:t xml:space="preserve">may </w:t>
            </w:r>
            <w:r w:rsidRPr="576FD25B">
              <w:t>improve value</w:t>
            </w:r>
            <w:r w:rsidR="0D3A163A" w:rsidRPr="576FD25B">
              <w:t>,</w:t>
            </w:r>
            <w:r w:rsidR="008B0AC5" w:rsidRPr="576FD25B">
              <w:rPr>
                <w:vertAlign w:val="superscript"/>
              </w:rPr>
              <w:t>2</w:t>
            </w:r>
            <w:r w:rsidRPr="576FD25B">
              <w:t xml:space="preserve"> </w:t>
            </w:r>
            <w:r w:rsidR="6080412A" w:rsidRPr="576FD25B">
              <w:t>but</w:t>
            </w:r>
            <w:r w:rsidRPr="576FD25B">
              <w:t xml:space="preserve"> results from various managed care plans </w:t>
            </w:r>
            <w:r w:rsidR="0757B1F8" w:rsidRPr="576FD25B">
              <w:t>are mixed, with likely variability of populations and interventions</w:t>
            </w:r>
            <w:r w:rsidRPr="576FD25B">
              <w:t>.</w:t>
            </w:r>
            <w:r w:rsidR="008B0AC5" w:rsidRPr="576FD25B">
              <w:rPr>
                <w:vertAlign w:val="superscript"/>
              </w:rPr>
              <w:t>3</w:t>
            </w:r>
            <w:r w:rsidRPr="576FD25B">
              <w:rPr>
                <w:vertAlign w:val="superscript"/>
              </w:rPr>
              <w:t>,</w:t>
            </w:r>
            <w:r w:rsidR="008B0AC5" w:rsidRPr="576FD25B">
              <w:rPr>
                <w:vertAlign w:val="superscript"/>
              </w:rPr>
              <w:t>4</w:t>
            </w:r>
            <w:r w:rsidRPr="576FD25B">
              <w:rPr>
                <w:vertAlign w:val="superscript"/>
              </w:rPr>
              <w:t>,</w:t>
            </w:r>
            <w:r w:rsidR="008B0AC5" w:rsidRPr="576FD25B">
              <w:rPr>
                <w:vertAlign w:val="superscript"/>
              </w:rPr>
              <w:t>5</w:t>
            </w:r>
            <w:r w:rsidRPr="576FD25B">
              <w:rPr>
                <w:vertAlign w:val="superscript"/>
              </w:rPr>
              <w:t>-1</w:t>
            </w:r>
            <w:r w:rsidR="008B0AC5" w:rsidRPr="576FD25B">
              <w:rPr>
                <w:vertAlign w:val="superscript"/>
              </w:rPr>
              <w:t>1</w:t>
            </w:r>
            <w:r w:rsidRPr="576FD25B">
              <w:rPr>
                <w:vertAlign w:val="superscript"/>
              </w:rPr>
              <w:t xml:space="preserve"> </w:t>
            </w:r>
            <w:r w:rsidRPr="576FD25B">
              <w:t xml:space="preserve">Little evidence exists about health system level interventions </w:t>
            </w:r>
            <w:r w:rsidR="11536142" w:rsidRPr="576FD25B">
              <w:t>might</w:t>
            </w:r>
            <w:r w:rsidRPr="576FD25B">
              <w:t xml:space="preserve"> reduce low value, expensive utilization</w:t>
            </w:r>
            <w:r w:rsidR="50984312" w:rsidRPr="576FD25B">
              <w:t xml:space="preserve"> and improve care</w:t>
            </w:r>
            <w:r w:rsidRPr="576FD25B">
              <w:t xml:space="preserve"> among dual eligibles.</w:t>
            </w:r>
            <w:r w:rsidR="008B0AC5" w:rsidRPr="576FD25B">
              <w:rPr>
                <w:vertAlign w:val="superscript"/>
              </w:rPr>
              <w:t>9,10</w:t>
            </w:r>
            <w:r w:rsidRPr="576FD25B">
              <w:t xml:space="preserve"> </w:t>
            </w:r>
          </w:p>
        </w:tc>
      </w:tr>
      <w:tr w:rsidR="0048655A" w:rsidRPr="008A7C90" w14:paraId="136E6453" w14:textId="77777777" w:rsidTr="00EE4FC2">
        <w:trPr>
          <w:trHeight w:val="262"/>
        </w:trPr>
        <w:tc>
          <w:tcPr>
            <w:tcW w:w="1852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938" w:type="dxa"/>
          </w:tcPr>
          <w:p w14:paraId="1486D38C" w14:textId="1EDF4962" w:rsidR="0048655A" w:rsidRPr="00F83B8E" w:rsidRDefault="00856C7F" w:rsidP="0048655A">
            <w:pPr>
              <w:spacing w:line="259" w:lineRule="auto"/>
            </w:pPr>
            <w:r>
              <w:t xml:space="preserve">KPNC members who became newly </w:t>
            </w:r>
            <w:r w:rsidR="00263578">
              <w:t>dual</w:t>
            </w:r>
            <w:r>
              <w:t>ly</w:t>
            </w:r>
            <w:r w:rsidR="00263578">
              <w:t xml:space="preserve"> eligible</w:t>
            </w:r>
            <w:r>
              <w:t xml:space="preserve"> between 2016 and 2019</w:t>
            </w:r>
            <w:r w:rsidR="48ABC40A">
              <w:t xml:space="preserve">, </w:t>
            </w:r>
            <w:proofErr w:type="gramStart"/>
            <w:r>
              <w:t>stratified</w:t>
            </w:r>
            <w:r w:rsidR="00E727AF">
              <w:t xml:space="preserve"> </w:t>
            </w:r>
            <w:r w:rsidR="61553FB6">
              <w:t xml:space="preserve"> by</w:t>
            </w:r>
            <w:proofErr w:type="gramEnd"/>
            <w:r w:rsidR="61553FB6">
              <w:t xml:space="preserve"> du</w:t>
            </w:r>
            <w:r w:rsidR="00263578">
              <w:t xml:space="preserve">al </w:t>
            </w:r>
            <w:r>
              <w:t xml:space="preserve">enrollment </w:t>
            </w:r>
            <w:r w:rsidR="00263578">
              <w:t>status: Special Needs Population (SNP) + Medicaid Managed Care (MCMC), SNP only, Medicare + MCMC, and Medicare Only</w:t>
            </w:r>
            <w:r w:rsidR="024C5AF0">
              <w:t xml:space="preserve"> (</w:t>
            </w:r>
            <w:r w:rsidR="00FA7D0F">
              <w:t>Figure 1</w:t>
            </w:r>
            <w:r w:rsidR="25C502CA">
              <w:t>)</w:t>
            </w:r>
            <w:r w:rsidR="00FA7D0F">
              <w:t>.</w:t>
            </w:r>
          </w:p>
        </w:tc>
      </w:tr>
      <w:tr w:rsidR="0048655A" w:rsidRPr="008A7C90" w14:paraId="5B80BED5" w14:textId="77777777" w:rsidTr="00EE4FC2">
        <w:trPr>
          <w:trHeight w:val="276"/>
        </w:trPr>
        <w:tc>
          <w:tcPr>
            <w:tcW w:w="1852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938" w:type="dxa"/>
          </w:tcPr>
          <w:p w14:paraId="3BDFD25B" w14:textId="6ECA775A" w:rsidR="0048655A" w:rsidRPr="00F83B8E" w:rsidRDefault="3C1FEBCD" w:rsidP="00E727AF">
            <w:r w:rsidRPr="576FD25B">
              <w:rPr>
                <w:u w:val="single"/>
              </w:rPr>
              <w:t>K</w:t>
            </w:r>
            <w:r w:rsidR="00263578" w:rsidRPr="576FD25B">
              <w:rPr>
                <w:u w:val="single"/>
              </w:rPr>
              <w:t>ey exposures</w:t>
            </w:r>
            <w:r w:rsidR="000F0238" w:rsidRPr="576FD25B">
              <w:rPr>
                <w:u w:val="single"/>
              </w:rPr>
              <w:t xml:space="preserve">: </w:t>
            </w:r>
            <w:r w:rsidR="00E727AF">
              <w:t xml:space="preserve">dual </w:t>
            </w:r>
            <w:r w:rsidR="00856C7F">
              <w:t>enrollment status</w:t>
            </w:r>
            <w:r w:rsidR="00E727AF">
              <w:t xml:space="preserve"> and health system level factors</w:t>
            </w:r>
            <w:r w:rsidR="05177563">
              <w:t xml:space="preserve"> for utilization from</w:t>
            </w:r>
            <w:r w:rsidR="00263578">
              <w:t xml:space="preserve"> prior research studies.</w:t>
            </w:r>
            <w:r w:rsidR="00E727AF">
              <w:t xml:space="preserve">  </w:t>
            </w:r>
          </w:p>
          <w:p w14:paraId="54A9B4E2" w14:textId="01D494FA" w:rsidR="0048655A" w:rsidRPr="00F83B8E" w:rsidRDefault="6230B422" w:rsidP="00E727AF">
            <w:r w:rsidRPr="576FD25B">
              <w:rPr>
                <w:u w:val="single"/>
              </w:rPr>
              <w:t>P</w:t>
            </w:r>
            <w:r w:rsidR="00E727AF" w:rsidRPr="576FD25B">
              <w:rPr>
                <w:u w:val="single"/>
              </w:rPr>
              <w:t>rimary outcome</w:t>
            </w:r>
            <w:r w:rsidR="596D78DB" w:rsidRPr="576FD25B">
              <w:rPr>
                <w:u w:val="single"/>
              </w:rPr>
              <w:t>:</w:t>
            </w:r>
            <w:r w:rsidR="00E727AF">
              <w:t xml:space="preserve"> readmission o</w:t>
            </w:r>
            <w:r w:rsidR="599FA399">
              <w:t>r</w:t>
            </w:r>
            <w:r w:rsidR="00E727AF">
              <w:t xml:space="preserve"> admission to the hospital or emergency department (ED) for an ambulatory sensitive condition</w:t>
            </w:r>
            <w:r w:rsidR="00856C7F">
              <w:t xml:space="preserve"> during the year following dual eligibility</w:t>
            </w:r>
            <w:r w:rsidR="00B86CF1">
              <w:t xml:space="preserve">. </w:t>
            </w:r>
          </w:p>
          <w:p w14:paraId="0CA2C589" w14:textId="26A78D99" w:rsidR="0048655A" w:rsidRPr="00F83B8E" w:rsidRDefault="353A2C15" w:rsidP="00E727AF">
            <w:r w:rsidRPr="576FD25B">
              <w:rPr>
                <w:u w:val="single"/>
              </w:rPr>
              <w:t>Methods</w:t>
            </w:r>
            <w:r>
              <w:t xml:space="preserve">:  </w:t>
            </w:r>
            <w:r w:rsidR="00856C7F">
              <w:t>microsimulation to evaluate changing modifiable factors</w:t>
            </w:r>
            <w:r w:rsidR="465AC222">
              <w:t xml:space="preserve"> and </w:t>
            </w:r>
            <w:r w:rsidR="00856C7F">
              <w:t xml:space="preserve">Cox PH models (i.e., dual enrollment status, engagement in kp.org) on risk of the primary outcome. </w:t>
            </w:r>
          </w:p>
        </w:tc>
      </w:tr>
      <w:tr w:rsidR="0048655A" w:rsidRPr="008A7C90" w14:paraId="13978FD3" w14:textId="77777777" w:rsidTr="00EE4FC2">
        <w:trPr>
          <w:trHeight w:val="2282"/>
        </w:trPr>
        <w:tc>
          <w:tcPr>
            <w:tcW w:w="1852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938" w:type="dxa"/>
          </w:tcPr>
          <w:p w14:paraId="35E37AC6" w14:textId="415F6205" w:rsidR="008B0AC5" w:rsidRPr="00DD7864" w:rsidRDefault="20D59954" w:rsidP="00DD7864">
            <w:pPr>
              <w:spacing w:line="259" w:lineRule="auto"/>
              <w:rPr>
                <w:b/>
                <w:bCs/>
              </w:rPr>
            </w:pPr>
            <w:r w:rsidRPr="576FD25B">
              <w:rPr>
                <w:b/>
                <w:bCs/>
              </w:rPr>
              <w:t xml:space="preserve">Facilities varied in outcomes; </w:t>
            </w:r>
            <w:r w:rsidR="4C417B60" w:rsidRPr="576FD25B">
              <w:rPr>
                <w:b/>
                <w:bCs/>
              </w:rPr>
              <w:t>the lowest region (</w:t>
            </w:r>
            <w:r w:rsidR="008B0AC5" w:rsidRPr="576FD25B">
              <w:rPr>
                <w:b/>
                <w:bCs/>
              </w:rPr>
              <w:t>Sacramento</w:t>
            </w:r>
            <w:r w:rsidR="2FC5AD83" w:rsidRPr="576FD25B">
              <w:rPr>
                <w:b/>
                <w:bCs/>
              </w:rPr>
              <w:t>)</w:t>
            </w:r>
            <w:r w:rsidR="008B0AC5" w:rsidRPr="576FD25B">
              <w:rPr>
                <w:b/>
                <w:bCs/>
              </w:rPr>
              <w:t xml:space="preserve"> ha</w:t>
            </w:r>
            <w:r w:rsidR="38665ABA" w:rsidRPr="576FD25B">
              <w:rPr>
                <w:b/>
                <w:bCs/>
              </w:rPr>
              <w:t xml:space="preserve">d </w:t>
            </w:r>
            <w:r w:rsidR="4E920B71" w:rsidRPr="576FD25B">
              <w:rPr>
                <w:b/>
                <w:bCs/>
              </w:rPr>
              <w:t xml:space="preserve">30% lower risk of </w:t>
            </w:r>
            <w:r w:rsidR="008B0AC5" w:rsidRPr="576FD25B">
              <w:rPr>
                <w:b/>
                <w:bCs/>
              </w:rPr>
              <w:t>potentially avoidable ED and hospital use</w:t>
            </w:r>
            <w:r w:rsidR="7BD3B2B0" w:rsidRPr="576FD25B">
              <w:rPr>
                <w:b/>
                <w:bCs/>
              </w:rPr>
              <w:t xml:space="preserve"> than the highest region (Redwood City)</w:t>
            </w:r>
            <w:r w:rsidR="008B0AC5" w:rsidRPr="576FD25B">
              <w:rPr>
                <w:b/>
                <w:bCs/>
              </w:rPr>
              <w:t xml:space="preserve">. </w:t>
            </w:r>
            <w:r w:rsidR="29EB5C99" w:rsidRPr="576FD25B">
              <w:rPr>
                <w:b/>
                <w:bCs/>
              </w:rPr>
              <w:t xml:space="preserve">Models suggest </w:t>
            </w:r>
            <w:r w:rsidR="37DCE89F" w:rsidRPr="576FD25B">
              <w:rPr>
                <w:b/>
                <w:bCs/>
              </w:rPr>
              <w:t>e</w:t>
            </w:r>
            <w:r w:rsidR="008B0AC5" w:rsidRPr="576FD25B">
              <w:rPr>
                <w:b/>
                <w:bCs/>
              </w:rPr>
              <w:t xml:space="preserve">nrolling dual eligible currently in Medicare Only or D-SNP Only into D-SNP plus Medicaid Managed care </w:t>
            </w:r>
            <w:r w:rsidR="304AC29F" w:rsidRPr="576FD25B">
              <w:rPr>
                <w:b/>
                <w:bCs/>
              </w:rPr>
              <w:t xml:space="preserve">may </w:t>
            </w:r>
            <w:r w:rsidR="2FD80F1E" w:rsidRPr="576FD25B">
              <w:rPr>
                <w:b/>
                <w:bCs/>
              </w:rPr>
              <w:t>markedly</w:t>
            </w:r>
            <w:r w:rsidR="68AE1119" w:rsidRPr="576FD25B">
              <w:rPr>
                <w:b/>
                <w:bCs/>
              </w:rPr>
              <w:t xml:space="preserve"> </w:t>
            </w:r>
            <w:r w:rsidR="008B0AC5" w:rsidRPr="576FD25B">
              <w:rPr>
                <w:b/>
                <w:bCs/>
              </w:rPr>
              <w:t>reduc</w:t>
            </w:r>
            <w:r w:rsidR="1CA7C4C0" w:rsidRPr="576FD25B">
              <w:rPr>
                <w:b/>
                <w:bCs/>
              </w:rPr>
              <w:t>e risk (Figure 2)</w:t>
            </w:r>
            <w:r w:rsidR="008B0AC5" w:rsidRPr="576FD25B">
              <w:rPr>
                <w:b/>
                <w:bCs/>
              </w:rPr>
              <w:t>.</w:t>
            </w:r>
          </w:p>
          <w:p w14:paraId="2CF0BC37" w14:textId="7BA99E4A" w:rsidR="00FA7D0F" w:rsidRPr="00FA7D0F" w:rsidRDefault="00E727AF" w:rsidP="576FD25B">
            <w:pPr>
              <w:spacing w:line="259" w:lineRule="auto"/>
            </w:pPr>
            <w:r w:rsidRPr="576FD25B">
              <w:t>There are significant differences in the baseline health, demographics and healthcare utilization between the dual eligible subgroups</w:t>
            </w:r>
            <w:r w:rsidR="00856C7F" w:rsidRPr="576FD25B">
              <w:t>.</w:t>
            </w:r>
            <w:r w:rsidR="00FA7D0F" w:rsidRPr="576FD25B">
              <w:t xml:space="preserve"> [Table 1</w:t>
            </w:r>
            <w:proofErr w:type="gramStart"/>
            <w:r w:rsidR="00FA7D0F" w:rsidRPr="576FD25B">
              <w:t>]</w:t>
            </w:r>
            <w:r w:rsidR="77A929F4" w:rsidRPr="576FD25B">
              <w:t xml:space="preserve"> </w:t>
            </w:r>
            <w:r w:rsidR="00FA7D0F" w:rsidRPr="576FD25B">
              <w:t>:</w:t>
            </w:r>
            <w:proofErr w:type="gramEnd"/>
          </w:p>
          <w:p w14:paraId="4E50BFEE" w14:textId="7E3286DC" w:rsidR="00856C7F" w:rsidRPr="00DD7864" w:rsidRDefault="00FA7D0F" w:rsidP="576FD25B">
            <w:pPr>
              <w:spacing w:line="259" w:lineRule="auto"/>
              <w:rPr>
                <w:u w:val="single"/>
              </w:rPr>
            </w:pPr>
            <w:r w:rsidRPr="576FD25B">
              <w:rPr>
                <w:u w:val="single"/>
              </w:rPr>
              <w:t xml:space="preserve">Factors associated with </w:t>
            </w:r>
            <w:r w:rsidRPr="576FD25B">
              <w:rPr>
                <w:b/>
                <w:bCs/>
                <w:i/>
                <w:iCs/>
                <w:u w:val="single"/>
              </w:rPr>
              <w:t xml:space="preserve">lower </w:t>
            </w:r>
            <w:r w:rsidRPr="576FD25B">
              <w:rPr>
                <w:u w:val="single"/>
              </w:rPr>
              <w:t xml:space="preserve">risk </w:t>
            </w:r>
            <w:r w:rsidR="31FA845D" w:rsidRPr="576FD25B">
              <w:rPr>
                <w:u w:val="single"/>
              </w:rPr>
              <w:t>(see also Table 2)</w:t>
            </w:r>
          </w:p>
          <w:p w14:paraId="3FDF290B" w14:textId="3229A647" w:rsidR="00FA7D0F" w:rsidRPr="00FA7D0F" w:rsidRDefault="00FA7D0F" w:rsidP="576FD25B">
            <w:r w:rsidRPr="576FD25B">
              <w:t>-older age (&gt;50 years)</w:t>
            </w:r>
            <w:r w:rsidR="29672A77" w:rsidRPr="576FD25B">
              <w:t xml:space="preserve">; </w:t>
            </w:r>
            <w:r w:rsidRPr="576FD25B">
              <w:t>enrollment in both D-SNP and Medicaid or in Medicare alone (versus D-SNP only)</w:t>
            </w:r>
            <w:r w:rsidR="2F75ECDC" w:rsidRPr="576FD25B">
              <w:t xml:space="preserve">; </w:t>
            </w:r>
            <w:r w:rsidRPr="576FD25B">
              <w:t>Asian race</w:t>
            </w:r>
            <w:r w:rsidR="3206F4B4" w:rsidRPr="576FD25B">
              <w:t>; discordant patient/provider language</w:t>
            </w:r>
            <w:r w:rsidRPr="576FD25B">
              <w:t xml:space="preserve">. </w:t>
            </w:r>
          </w:p>
          <w:p w14:paraId="735F3563" w14:textId="7541A25F" w:rsidR="00FA7D0F" w:rsidRPr="00DD7864" w:rsidRDefault="00FA7D0F" w:rsidP="576FD25B">
            <w:pPr>
              <w:spacing w:line="259" w:lineRule="auto"/>
              <w:rPr>
                <w:u w:val="single"/>
              </w:rPr>
            </w:pPr>
            <w:r w:rsidRPr="576FD25B">
              <w:rPr>
                <w:u w:val="single"/>
              </w:rPr>
              <w:t xml:space="preserve">Factors associated with </w:t>
            </w:r>
            <w:r w:rsidRPr="576FD25B">
              <w:rPr>
                <w:b/>
                <w:bCs/>
                <w:i/>
                <w:iCs/>
                <w:u w:val="single"/>
              </w:rPr>
              <w:t xml:space="preserve">higher </w:t>
            </w:r>
            <w:r w:rsidRPr="576FD25B">
              <w:rPr>
                <w:u w:val="single"/>
              </w:rPr>
              <w:t xml:space="preserve">risk </w:t>
            </w:r>
          </w:p>
          <w:p w14:paraId="08A38B4B" w14:textId="5AE29A50" w:rsidR="00FA7D0F" w:rsidRDefault="00FA7D0F" w:rsidP="576FD25B">
            <w:r w:rsidRPr="576FD25B">
              <w:t>-not using the patient portal [HR: 1.34; 95% Confidence Interval:(1.2, 1.5)]</w:t>
            </w:r>
            <w:r w:rsidR="4229FEB9" w:rsidRPr="576FD25B">
              <w:t xml:space="preserve">; </w:t>
            </w:r>
            <w:r w:rsidRPr="576FD25B">
              <w:t>multi-</w:t>
            </w:r>
            <w:proofErr w:type="gramStart"/>
            <w:r w:rsidRPr="576FD25B">
              <w:t>morbidity</w:t>
            </w:r>
            <w:r w:rsidR="22F7B7FF" w:rsidRPr="576FD25B">
              <w:t>;</w:t>
            </w:r>
            <w:proofErr w:type="gramEnd"/>
          </w:p>
          <w:p w14:paraId="3CD35CB0" w14:textId="47F35425" w:rsidR="00856C7F" w:rsidRPr="00DD7864" w:rsidRDefault="00FA7D0F" w:rsidP="576FD25B">
            <w:r w:rsidRPr="576FD25B">
              <w:t>living in a lower socioeconomic status neighborhoo</w:t>
            </w:r>
            <w:r w:rsidR="00DD7864" w:rsidRPr="576FD25B">
              <w:t>d</w:t>
            </w:r>
            <w:r w:rsidR="00F83B8E">
              <w:t xml:space="preserve"> </w:t>
            </w:r>
          </w:p>
        </w:tc>
      </w:tr>
      <w:tr w:rsidR="0048655A" w:rsidRPr="008A7C90" w14:paraId="62542513" w14:textId="77777777" w:rsidTr="00EE4FC2">
        <w:trPr>
          <w:trHeight w:val="525"/>
        </w:trPr>
        <w:tc>
          <w:tcPr>
            <w:tcW w:w="1852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938" w:type="dxa"/>
          </w:tcPr>
          <w:p w14:paraId="092B6F29" w14:textId="6DEF8A25" w:rsidR="0048655A" w:rsidRPr="00EF635D" w:rsidRDefault="00817405" w:rsidP="0048655A">
            <w:pPr>
              <w:spacing w:line="259" w:lineRule="auto"/>
              <w:rPr>
                <w:b/>
                <w:bCs/>
              </w:rPr>
            </w:pPr>
            <w:r w:rsidRPr="576FD25B">
              <w:rPr>
                <w:b/>
                <w:bCs/>
              </w:rPr>
              <w:t xml:space="preserve">Work with the </w:t>
            </w:r>
            <w:r w:rsidR="00F83B8E" w:rsidRPr="576FD25B">
              <w:rPr>
                <w:b/>
                <w:bCs/>
              </w:rPr>
              <w:t xml:space="preserve">SNP group in the </w:t>
            </w:r>
            <w:r w:rsidRPr="576FD25B">
              <w:rPr>
                <w:b/>
                <w:bCs/>
              </w:rPr>
              <w:t xml:space="preserve">TPMG consulting group </w:t>
            </w:r>
            <w:r w:rsidR="00F83B8E" w:rsidRPr="576FD25B">
              <w:rPr>
                <w:b/>
                <w:bCs/>
              </w:rPr>
              <w:t xml:space="preserve">and the regional hospital resource management group to </w:t>
            </w:r>
            <w:r w:rsidR="00DD7864" w:rsidRPr="576FD25B">
              <w:rPr>
                <w:b/>
                <w:bCs/>
              </w:rPr>
              <w:t>interpret findings and to identify potential avenues for intervention</w:t>
            </w:r>
            <w:r w:rsidR="00F83B8E" w:rsidRPr="576FD25B">
              <w:rPr>
                <w:b/>
                <w:bCs/>
              </w:rPr>
              <w:t>.</w:t>
            </w:r>
          </w:p>
        </w:tc>
      </w:tr>
      <w:tr w:rsidR="00CB0455" w:rsidRPr="008A7C90" w14:paraId="57800790" w14:textId="77777777" w:rsidTr="00EE4FC2">
        <w:trPr>
          <w:trHeight w:val="450"/>
        </w:trPr>
        <w:tc>
          <w:tcPr>
            <w:tcW w:w="1852" w:type="dxa"/>
          </w:tcPr>
          <w:p w14:paraId="6C4E04AC" w14:textId="5890CC3C" w:rsidR="00CB0455" w:rsidRPr="00EB0401" w:rsidRDefault="00CB0455" w:rsidP="0048655A">
            <w:r>
              <w:t>Additional Recommendation</w:t>
            </w:r>
            <w:r w:rsidR="0B842CB8">
              <w:t>s</w:t>
            </w:r>
          </w:p>
        </w:tc>
        <w:tc>
          <w:tcPr>
            <w:tcW w:w="8938" w:type="dxa"/>
          </w:tcPr>
          <w:p w14:paraId="08163871" w14:textId="7B8E8658" w:rsidR="00CB0455" w:rsidRPr="00EB0401" w:rsidRDefault="0B842CB8" w:rsidP="0048655A">
            <w:r>
              <w:t>A</w:t>
            </w:r>
            <w:r w:rsidR="00F83B8E">
              <w:t>ssess</w:t>
            </w:r>
            <w:r w:rsidR="7FAB0A28">
              <w:t>ing</w:t>
            </w:r>
            <w:r w:rsidR="00F83B8E">
              <w:t xml:space="preserve"> reasons </w:t>
            </w:r>
            <w:r w:rsidR="007751AB">
              <w:t>for variation in dual enrollment in D-SNP plus MCMC may be informative</w:t>
            </w:r>
            <w:r w:rsidR="1B0DD7B0">
              <w:t>; evaluation of TPMG leadership awareness of findings and any recommendations for further study that would inform operations.</w:t>
            </w:r>
          </w:p>
        </w:tc>
      </w:tr>
      <w:tr w:rsidR="0048655A" w:rsidRPr="008A7C90" w14:paraId="21F6FB6D" w14:textId="77777777" w:rsidTr="00EE4FC2">
        <w:trPr>
          <w:trHeight w:val="552"/>
        </w:trPr>
        <w:tc>
          <w:tcPr>
            <w:tcW w:w="1852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938" w:type="dxa"/>
          </w:tcPr>
          <w:p w14:paraId="35B5FEA6" w14:textId="5729A145" w:rsidR="0048655A" w:rsidRPr="008A7C90" w:rsidRDefault="00DD7864" w:rsidP="0048655A">
            <w:pPr>
              <w:spacing w:line="259" w:lineRule="auto"/>
            </w:pPr>
            <w:r>
              <w:t>We will explore whether the simulation tool created as part of this project might be useful to TPMG in identifying potential intervention components.</w:t>
            </w:r>
          </w:p>
        </w:tc>
      </w:tr>
      <w:tr w:rsidR="0048655A" w:rsidRPr="008A7C90" w14:paraId="02D4678D" w14:textId="77777777" w:rsidTr="00EE4FC2">
        <w:trPr>
          <w:trHeight w:val="552"/>
        </w:trPr>
        <w:tc>
          <w:tcPr>
            <w:tcW w:w="1852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938" w:type="dxa"/>
          </w:tcPr>
          <w:p w14:paraId="0D25EBD1" w14:textId="57A8FF53" w:rsidR="0048655A" w:rsidRPr="008A7C90" w:rsidRDefault="00DD7864" w:rsidP="0048655A">
            <w:pPr>
              <w:spacing w:line="259" w:lineRule="auto"/>
            </w:pPr>
            <w:r>
              <w:t>NA</w:t>
            </w:r>
            <w:r w:rsidR="00FA5142">
              <w:t xml:space="preserve"> </w:t>
            </w:r>
          </w:p>
        </w:tc>
      </w:tr>
      <w:tr w:rsidR="0048655A" w:rsidRPr="008A7C90" w14:paraId="66558595" w14:textId="77777777" w:rsidTr="00EE4FC2">
        <w:trPr>
          <w:trHeight w:val="538"/>
        </w:trPr>
        <w:tc>
          <w:tcPr>
            <w:tcW w:w="1852" w:type="dxa"/>
          </w:tcPr>
          <w:p w14:paraId="29954FA9" w14:textId="77777777" w:rsidR="0048655A" w:rsidRPr="008A7C90" w:rsidRDefault="0048655A" w:rsidP="0048655A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938" w:type="dxa"/>
          </w:tcPr>
          <w:p w14:paraId="601DCC27" w14:textId="18785503" w:rsidR="0048655A" w:rsidRDefault="00B86CF1" w:rsidP="0048655A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>Figure 1. Cohort building algorithm for the study</w:t>
            </w:r>
          </w:p>
          <w:p w14:paraId="5977677A" w14:textId="2B9287B8" w:rsidR="00B86CF1" w:rsidRDefault="00B86CF1" w:rsidP="0048655A">
            <w:pPr>
              <w:spacing w:line="259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5D294277" wp14:editId="2DD04C81">
                  <wp:extent cx="4543425" cy="3191427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319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D590A" w14:textId="329EB570" w:rsidR="00B86CF1" w:rsidRDefault="00B86CF1" w:rsidP="0048655A">
            <w:pPr>
              <w:spacing w:line="259" w:lineRule="auto"/>
            </w:pPr>
            <w:r w:rsidRPr="00B86CF1">
              <w:t>Figure 2. Microsimulation: Effect of switching coverage status for dual eligible on time to avoidable hospitalizations and ED visits</w:t>
            </w:r>
          </w:p>
          <w:p w14:paraId="0DA35658" w14:textId="531377D4" w:rsidR="00B86CF1" w:rsidRDefault="00B86CF1" w:rsidP="0048655A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31FB1121" wp14:editId="402578EF">
                  <wp:extent cx="5219702" cy="2498730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2" cy="249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E8E1A6" w14:textId="44B09CDD" w:rsidR="00B86CF1" w:rsidRDefault="00B86CF1" w:rsidP="0048655A">
            <w:pPr>
              <w:spacing w:line="259" w:lineRule="auto"/>
            </w:pPr>
            <w:r>
              <w:t xml:space="preserve">Table 1. </w:t>
            </w:r>
            <w:r w:rsidR="008B0AC5">
              <w:t>Patient characteristics of the dual eligible population studied</w:t>
            </w: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3"/>
              <w:gridCol w:w="1536"/>
              <w:gridCol w:w="1009"/>
              <w:gridCol w:w="1009"/>
              <w:gridCol w:w="992"/>
              <w:gridCol w:w="1009"/>
              <w:gridCol w:w="1070"/>
              <w:gridCol w:w="808"/>
            </w:tblGrid>
            <w:tr w:rsidR="00B86CF1" w14:paraId="49DF353D" w14:textId="77777777" w:rsidTr="576FD25B"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BBBBBB"/>
                  <w:tcMar>
                    <w:top w:w="100" w:type="nil"/>
                    <w:left w:w="60" w:type="nil"/>
                    <w:right w:w="60" w:type="nil"/>
                  </w:tcMar>
                  <w:vAlign w:val="bottom"/>
                </w:tcPr>
                <w:p w14:paraId="57518A0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>Independent factor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BBBBBB"/>
                  <w:tcMar>
                    <w:top w:w="100" w:type="nil"/>
                    <w:left w:w="60" w:type="nil"/>
                    <w:right w:w="60" w:type="nil"/>
                  </w:tcMar>
                  <w:vAlign w:val="bottom"/>
                </w:tcPr>
                <w:p w14:paraId="6E28EDA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>Level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BBBBBB"/>
                  <w:tcMar>
                    <w:top w:w="100" w:type="nil"/>
                    <w:left w:w="60" w:type="nil"/>
                    <w:right w:w="60" w:type="nil"/>
                  </w:tcMar>
                  <w:vAlign w:val="bottom"/>
                </w:tcPr>
                <w:p w14:paraId="3331377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>All (N=</w:t>
                  </w:r>
                  <w:proofErr w:type="gramStart"/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>36,961)*</w:t>
                  </w:r>
                  <w:proofErr w:type="gramEnd"/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 xml:space="preserve">  n(%)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BBBBBB"/>
                  <w:tcMar>
                    <w:top w:w="100" w:type="nil"/>
                    <w:left w:w="60" w:type="nil"/>
                    <w:right w:w="60" w:type="nil"/>
                  </w:tcMar>
                  <w:vAlign w:val="bottom"/>
                </w:tcPr>
                <w:p w14:paraId="0228D0E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>D-SNP Only (N=</w:t>
                  </w:r>
                  <w:proofErr w:type="gramStart"/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>13,941)*</w:t>
                  </w:r>
                  <w:proofErr w:type="gramEnd"/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 xml:space="preserve">  n(%)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BBBBBB"/>
                  <w:tcMar>
                    <w:top w:w="100" w:type="nil"/>
                    <w:left w:w="60" w:type="nil"/>
                    <w:right w:w="60" w:type="nil"/>
                  </w:tcMar>
                  <w:vAlign w:val="bottom"/>
                </w:tcPr>
                <w:p w14:paraId="72E3FCF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>D-SNP+MCMC (N=</w:t>
                  </w:r>
                  <w:proofErr w:type="gramStart"/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>2,011)*</w:t>
                  </w:r>
                  <w:proofErr w:type="gramEnd"/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 xml:space="preserve">  n(%)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BBBBBB"/>
                  <w:tcMar>
                    <w:top w:w="100" w:type="nil"/>
                    <w:left w:w="60" w:type="nil"/>
                    <w:right w:w="60" w:type="nil"/>
                  </w:tcMar>
                  <w:vAlign w:val="bottom"/>
                </w:tcPr>
                <w:p w14:paraId="2F6DA7D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>KPSA Only (N=</w:t>
                  </w:r>
                  <w:proofErr w:type="gramStart"/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>11,916)*</w:t>
                  </w:r>
                  <w:proofErr w:type="gramEnd"/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 xml:space="preserve">  n(%)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BBBBBB"/>
                  <w:tcMar>
                    <w:top w:w="100" w:type="nil"/>
                    <w:left w:w="60" w:type="nil"/>
                    <w:right w:w="60" w:type="nil"/>
                  </w:tcMar>
                  <w:vAlign w:val="bottom"/>
                </w:tcPr>
                <w:p w14:paraId="1CCDC95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>KPSA+MCMC /MCMC Only (N=</w:t>
                  </w:r>
                  <w:proofErr w:type="gramStart"/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>9,093)*</w:t>
                  </w:r>
                  <w:proofErr w:type="gramEnd"/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 xml:space="preserve">  n(%)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BBBBBB"/>
                  <w:tcMar>
                    <w:top w:w="100" w:type="nil"/>
                    <w:left w:w="60" w:type="nil"/>
                    <w:right w:w="60" w:type="nil"/>
                  </w:tcMar>
                  <w:vAlign w:val="bottom"/>
                </w:tcPr>
                <w:p w14:paraId="1DB1D25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bidi="hi-IN"/>
                    </w:rPr>
                    <w:t>P Value</w:t>
                  </w:r>
                </w:p>
              </w:tc>
            </w:tr>
            <w:tr w:rsidR="00B86CF1" w14:paraId="3FC446C8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30A32A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Patient Age on the Index Date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9456A0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Mean (SD)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700C3E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64.69 (13.61)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368C52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64.46 (13.65)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55FEDD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61.09 (12.86)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C33287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69.32 (13.47)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1A355C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59.78 (11.73)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21DE41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</w:tc>
            </w:tr>
            <w:tr w:rsidR="00B86CF1" w14:paraId="10D4F5CD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7DC4D3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Sex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98BC3D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1E4450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D37F88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747141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CDB5CA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67F1EE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5D17DD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</w:tc>
            </w:tr>
            <w:tr w:rsidR="00B86CF1" w14:paraId="1E8AB40A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4E66D6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6FFB72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FEMALE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B22FA0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21852 (59.12)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7DE159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8166 (58.58)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DEE124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1147 (57.04)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140D76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7349 (61.67)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F949CE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5190 (57.08)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35427E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7D54FA7C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A299A2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90CB98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MALE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836D36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15107 (40.88)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A57E77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5774 (41.42)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9576EB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864 (42.96)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A3E211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4567 (38.33)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C88505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3902 (42.92)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47DE8B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387C49A7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01A509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Race/Ethnicity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C93BB0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A7BD30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B5B0C8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EFB98B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51E74E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C76B1C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08E270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</w:tc>
            </w:tr>
            <w:tr w:rsidR="00B86CF1" w14:paraId="46C9894C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3226D2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AC230B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1.White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6D36AC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13821 (37.39)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7B4BBD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4396 (31.53)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B964B9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886 (44.06)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FDFCE8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5023 (42.15)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803F57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3516 (38.67)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AED25A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2D3D1ADB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CA5137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3E84A1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2.Asian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16F455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8167 (22.10)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4C43DE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3403 (24.41)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7868C5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488 (24.27)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FC3013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2238 (18.78)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713188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2038 (22.41)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2A1336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625F4587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C3C1EE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97A212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3.Black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D5635C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4980 (13.47)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F59C2A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2054 (14.73)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18D2C5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214 (10.64)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FEB4E9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1495 (12.55)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131CA4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1217 (13.38)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E2A933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608A3110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BFB38F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FC61FC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4.Hispanic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EBE9F8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7849 (21.24)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1FA4CA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3144 (22.55)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A5BFB1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330 (16.41)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5BB5E7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2531 (21.24)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023EA4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1844 (20.28)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CDF609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2B9B79BE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0891E5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75D95D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5.Other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C49653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639 (1.73)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6BBE2B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253 (1.81)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0F55F2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33 (1.64)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04EFD8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177 (1.49)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161190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176 (1.94)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50929F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19ECA7DE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69A2A6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35A0DC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6.Unknown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0CF935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1505 (4.07)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6552B3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691 (4.96)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C68451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60 (2.98)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730126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452 (3.79)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A3DA02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302 (3.32)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934CEC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663E3DB7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6F0BCC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Standardized Neighborhood Deprivation Index Score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C85E81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Mean (SD)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824B79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0.24 (0.98)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3A490A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0.39 (1.03)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B4DF3E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0.15 (0.88)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89245A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0.15 (0.95)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E87BB2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0.16 (0.94)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8231DE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</w:tc>
            </w:tr>
            <w:tr w:rsidR="00B86CF1" w14:paraId="296C4A5F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CD294C8" w14:textId="3BB3724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5A2ADC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CF24FB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6E9DD5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4DCA6E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FFC898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635833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DF7E07E" w14:textId="4F1CC21E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72EB56CA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A6DD715" w14:textId="07D9DAFB" w:rsidR="00B86CF1" w:rsidRPr="00DD7864" w:rsidRDefault="1D446B77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Standardized Neighborhood Deprivation Index (quartiles)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2E11FC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Q1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18D561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4912 (13.29)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62C4B5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1450 (10.40)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C52BE5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287 (14.27)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D5CEDD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1814 (15.22)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11E247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1361 (14.97)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ABECE1A" w14:textId="77777777" w:rsidR="00B86CF1" w:rsidRPr="00DD7864" w:rsidRDefault="114CF6F6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  <w:p w14:paraId="7C6968ED" w14:textId="53C83669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5482C7C9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96D712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69AC30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Q2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A39BA6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9490 (25.68)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3B1558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3196 (22.93)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52B71A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525 (26.11)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EB45B2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3333 (27.97)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818C8B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2436 (26.79)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9D827F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6B979136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83750A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D1EAA7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Q3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C7EFBE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9964 (26.96)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E93019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3633 (26.06)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8B0156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605 (30.08)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63208A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3184 (26.72)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883C32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2542 (27.96)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1E2244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45DF67BB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0AAAC6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EA4683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Q4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43E274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11843 (32.04)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F756B7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5160 (37.01)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6A98A0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589 (29.29)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122077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3377 (28.34)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184310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2717 (29.88)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75A7FA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2F367E8F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69B50C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F76554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Unknown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9B1879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752 (2.03)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AAB71B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502 (3.60)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E3551D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 (0.25)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E927ED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208 (1.75)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518421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37 (0.41)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EAC333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1E3B7A97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8A1EDDE" w14:textId="0427CEDB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72F472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BC94D0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49DDA2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6C7736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CA3BAD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044BF2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866E3BB" w14:textId="38BCF1D1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1E63F467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ADABDDB" w14:textId="13A5B7A9" w:rsidR="00B86CF1" w:rsidRPr="00DD7864" w:rsidRDefault="5FC74C6E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 xml:space="preserve">Most Recent BMI Prior to the Index 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4B273F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1.Under/Normal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D16C84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7327 (19.82)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E0E42E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1723 (12.36)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42A76F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534 (26.55)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C226E5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3022 (25.36)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FEF070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2048 (22.52)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61305F8" w14:textId="77777777" w:rsidR="00B86CF1" w:rsidRPr="00DD7864" w:rsidRDefault="2CDA688B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  <w:p w14:paraId="6FEE273B" w14:textId="2514E16A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440089BC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BA3D18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6AA3E7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2.Overweight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C2C842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7324 (19.82)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2D682D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1693 (12.14)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A67490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525 (26.11)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76A5FB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2675 (22.45)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6E71A8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2431 (26.73)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AF2144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746EF5DC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3B0D60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20E9CA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3.Obese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59BDC8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8785 (23.77)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766F8A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2047 (14.68)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45F37C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727 (36.15)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3EB9DD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2699 (22.65)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113251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3312 (36.42)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681964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0B208F19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FDAF17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D6EDF9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4.Unknown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183760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13525 (36.59)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B538E6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8478 (60.81)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F8C126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225 (11.19)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BAA468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3520 (29.54)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E610F8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1302 (14.32)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C9D570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76A7BC65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B1E669A" w14:textId="557F9CAC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8532EC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A37A7A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426523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D2D889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6DEA71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6BCA55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E211823" w14:textId="2BEA8973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5D974B0C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BF36C0D" w14:textId="6051DC65" w:rsidR="00B86CF1" w:rsidRPr="00DD7864" w:rsidRDefault="04259E5C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Baseline Smoking Status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484DDD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1.None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83FD7B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12945 (35.02)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442D04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2957 (21.21)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23C52D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839 (41.72)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F42B3E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4702 (39.46)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CFDA9A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4447 (48.91)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9B69FA1" w14:textId="77777777" w:rsidR="00B86CF1" w:rsidRPr="00DD7864" w:rsidRDefault="7CE86434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  <w:p w14:paraId="3A620645" w14:textId="20AC6BA3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0CD2C1FA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026FE3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2F3BC0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2.Former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B80506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6829 (18.48)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499315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1363 (9.78)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405EF9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459 (22.82)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2C4E3F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2675 (22.45)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66A8DD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2332 (25.65)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0CF53E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58DEDABC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C684D5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86CD5C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3.Current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25324B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2349 (6.36)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AB3608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669 (4.80)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E8A3CA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180 (8.95)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844F1C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711 (5.97)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7FC8B4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789 (8.68)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E77114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10E95F26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87A477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615ADE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4.Unknown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8BC430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14838 (40.15)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963C5B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8952 (64.21)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3A518C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533 (26.50)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FB5856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3828 (32.12)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1CCAAB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1525 (16.77)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3BD516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110152C7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3F3F025" w14:textId="122CD16F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050B64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36C83E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50DEA4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1E23F3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FA050D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44A078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70E773E" w14:textId="3506AB01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6F8B8127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AD15A2E" w14:textId="0BFD8100" w:rsidR="00B86CF1" w:rsidRPr="00DD7864" w:rsidRDefault="77DFC51C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Alcohol Consumption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C7D984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No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9471E6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13112 (35.48)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8671E8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2635 (18.90)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70A0BB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874 (43.46)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7701E9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5012 (42.06)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3520F7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4591 (50.49)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09ACBCC" w14:textId="77777777" w:rsidR="00B86CF1" w:rsidRPr="00DD7864" w:rsidRDefault="57996BF8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  <w:p w14:paraId="7E286A86" w14:textId="40ECCAA6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618CD003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5E6AA4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D1F626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Yes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80EBF8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5066 (13.71)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8D60A5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941 (6.75)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65767D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358 (17.80)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237CB2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1776 (14.90)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17A1A9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1991 (21.90)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45A26B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328843EE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214FB7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A01335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Not applicable/Unknown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B1C7D4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18783 (50.82)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EFF0EB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10365 (74.35)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9E4815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779 (38.74)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E42879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5128 (43.03)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957E93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2511 (27.61)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C9BDD5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047B9038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0A2C0C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Doing any Exercise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ECA586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3AF280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19FC46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93E62C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9616C4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9849C5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F6F862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</w:tc>
            </w:tr>
            <w:tr w:rsidR="00B86CF1" w14:paraId="4C553FD2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358715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300C48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No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F80A2E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11984 (32.42)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4F51C7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2632 (18.88)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A51670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818 (40.68)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FE97B8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4756 (39.91)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B351F5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3778 (41.55)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00148D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48664546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D7E269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B9B6B9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Yes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47C2A2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10451 (28.28)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A69ABA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2350 (16.86)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2E9FF5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972 (48.33)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5F50A1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3246 (27.24)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48FEBD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3883 (42.70)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05783C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15763197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67C772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FF4F70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Not applicable/Unknown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3B4AC4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14526 (39.30)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542854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8959 (64.26)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4009C7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221 (10.99)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67F2B4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3914 (32.85)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7ABA5B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1432 (15.75)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F0171C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26155277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25928F9" w14:textId="09F4D201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185BE5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2E4AA7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96C3EF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8B787B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3DEE53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90CC92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A8E746D" w14:textId="2B85A019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37B9302F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B09630B" w14:textId="1FE9D8A4" w:rsidR="00B86CF1" w:rsidRPr="00DD7864" w:rsidRDefault="0021033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150 Minutes MVPA/Week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2295F3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No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8374A2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17070 (46.18)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C248D5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3731 (26.76)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14F0DE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1284 (63.85)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0D56C2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6390 (53.63)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6A3CD9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5665 (62.30)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AFE93E4" w14:textId="77777777" w:rsidR="00B86CF1" w:rsidRPr="00DD7864" w:rsidRDefault="516A96F7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  <w:p w14:paraId="3513127E" w14:textId="17ACC10C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7DE0DA1B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67A4EB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D29D16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Yes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853A5A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5290 (14.31)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C07B35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1232 (8.84)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E77F41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500 (24.86)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ADCB86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1590 (13.34)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09B264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1968 (21.64)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B184A2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2AA1CF29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61C434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54D01C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Not applicable/Unknown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64A487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14601 (39.50)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ACA21B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8978 (64.40)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77D582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227 (11.29)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EACB49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3936 (33.03)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299544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1460 (16.06)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F42396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38F2D927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C95132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proofErr w:type="spellStart"/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Elixhauser</w:t>
                  </w:r>
                  <w:proofErr w:type="spellEnd"/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 xml:space="preserve"> Comorbidity Index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E0CFFB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Mean (SD)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3BBA21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4.94 (3.78)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046418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4.68 (3.60)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24D4EA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4.68 (3.53)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ACE6E3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5.56 (4.02)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C6772F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4.57 (3.70)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7B2946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</w:tc>
            </w:tr>
            <w:tr w:rsidR="00B86CF1" w14:paraId="1FF99B04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781826F" w14:textId="14ED24CC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E75D14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8EACC1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2A5524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B5203D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469789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D430E0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07DAA42" w14:textId="44749AFD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2461948C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5BCB7CD" w14:textId="5469E028" w:rsidR="00B86CF1" w:rsidRPr="00DD7864" w:rsidRDefault="41013E5A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Patient/provider race concordance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3E41B0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No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0ED901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19107 (51.70)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4BCC2C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6442 (46.21)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888332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1044 (51.91)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C1EBB6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6580 (55.22)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2092C2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5041 (55.44)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7C8E154" w14:textId="77777777" w:rsidR="00B86CF1" w:rsidRPr="00DD7864" w:rsidRDefault="7531640D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  <w:p w14:paraId="74EF88D7" w14:textId="750F4550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2092027C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E8C7CD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E9D8CC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Yes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D2FB91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13717 (37.11)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ADC83B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5115 (36.69)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8B6E88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867 (43.11)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C02D74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4151 (34.84)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409E25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3584 (39.41)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A3DD14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0CAC0658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C760E4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80EEC0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Not applicable/Unknown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F8266E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4137 (11.19)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8B3283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2384 (17.10)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C1A1CD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100 (4.97)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0D16F1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1185 (9.94)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D9FE9B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468 (5.15)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AD7322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77A68A75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E7C2154" w14:textId="3621B45C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B1778A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E7D1A3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0630DD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315C4F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5333BC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9895CF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5C16758" w14:textId="3B196ADF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73B79F6F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8280CBE" w14:textId="77777777" w:rsidR="00B86CF1" w:rsidRPr="00DD7864" w:rsidRDefault="4DC518A5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Patient-Physician Language Concordance</w:t>
                  </w:r>
                </w:p>
                <w:p w14:paraId="4B1AB57F" w14:textId="4779FDB8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AB1A0E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No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B75A61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5605 (15.16)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B72803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2726 (19.55)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2ADF4E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247 (12.28)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698445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1339 (11.24)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A8286F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1293 (14.22)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CB247FB" w14:textId="77777777" w:rsidR="00B86CF1" w:rsidRPr="00DD7864" w:rsidRDefault="21FA6CBF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  <w:p w14:paraId="4C805E8A" w14:textId="48D3E31D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654294EB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66C543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4E7BB9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Yes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914622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31215 (84.45)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E05506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11151 (79.99)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CEA2CA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1761 (87.57)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EC0B79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10518 (88.27)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2503ED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7785 (85.62)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B87011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4AD005AA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657F4F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75E137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Not applicable/Unknown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F1D33E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141 (0.38)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E5D6BA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64 (0.46)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0F6CE3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 (0.15)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752D05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59 (0.50)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F0EFC0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15 (0.16)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CE6BC3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3F006EFE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976299E" w14:textId="76F1BB7F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5276A9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430F4A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527782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63A1C5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E5DB56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C04359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88986AD" w14:textId="780DAB33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48EF1A7B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B733CE5" w14:textId="77777777" w:rsidR="00B86CF1" w:rsidRPr="00DD7864" w:rsidRDefault="20CE9098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Kp.org Registration</w:t>
                  </w:r>
                </w:p>
                <w:p w14:paraId="0EAEDF71" w14:textId="15DF5389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5BEAB5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No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EC133A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16320 (44.15)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4E6725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9005 (64.59)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7BD5F0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450 (22.38)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6F461B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4667 (39.17)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854B9A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2198 (24.17)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4EEC712" w14:textId="77777777" w:rsidR="00B86CF1" w:rsidRPr="00DD7864" w:rsidRDefault="0EE7B600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  <w:p w14:paraId="15646E7B" w14:textId="08609D21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62563B6E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7D7CA8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C829CA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Yes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9C172B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20641 (55.85)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D599B9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4936 (35.41)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1B3891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1561 (77.62)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F9DF90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7249 (60.83)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A67C06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6895 (75.83)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94C61F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5B525E31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132E5D8" w14:textId="2A99263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8A8651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F3BD49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558650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B2876C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A61F48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AEED46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7567850" w14:textId="35CC6CA4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1BD62B9F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4B7C05B" w14:textId="77777777" w:rsidR="00B86CF1" w:rsidRPr="00DD7864" w:rsidRDefault="65334440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Kp.org Use at Baseline</w:t>
                  </w:r>
                </w:p>
                <w:p w14:paraId="01F4626F" w14:textId="62D35C02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770EDA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No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25900E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21928 (59.33)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B844602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10902 (78.20)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C7E750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684 (34.01)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A5C26C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6710 (56.31)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C491BD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3632 (39.94)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8AB2634" w14:textId="77777777" w:rsidR="00B86CF1" w:rsidRPr="00DD7864" w:rsidRDefault="3E3490C2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576FD25B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  <w:p w14:paraId="2BBD64F1" w14:textId="2C851FBB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45CE5A1D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25443D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5BB30B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Yes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949FE9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15033 (40.67)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6B879F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3039 (21.80)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E2BB86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1327 (65.99)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E4EC9D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5206 (43.69)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FA24FA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5461 (60.06)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0D711B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B86CF1" w14:paraId="739FAFA5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863E7D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# of Outpatient Visits Within 24 Months Before Index Date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BC1429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Mean (SD)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024C33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10.76 (18.14)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D621AC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8.14 (14.91)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7AB140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12.11 (18.96)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92CE79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10.23 (17.16)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ABCDCB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12.79 (20.55)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A6C9BB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</w:tc>
            </w:tr>
            <w:tr w:rsidR="00B86CF1" w14:paraId="5D25BE46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022552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# of ED Visits Within 24 Months Before Index Date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029E86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Mean (SD)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2C671F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2.45 (2.73)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20EFECD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2.27 (2.58)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451D1D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2.08 (1.90)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1ED11D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2.63 (2.83)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ED2E11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2.45 (2.86)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B1203B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</w:tc>
            </w:tr>
            <w:tr w:rsidR="00B86CF1" w14:paraId="5BCF24E5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C017D1E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# of Inpatient Visits Within 24 Months Before Index Date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0299AC7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Mean (SD)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7238495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1.74 (1.35)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8A21C2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1.57 (1.18)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E1DC2D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1.62 (1.11)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16C90D2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1.81 (1.35)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A0935A1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1.75 (1.47)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0E5B336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0.0002</w:t>
                  </w:r>
                </w:p>
              </w:tc>
            </w:tr>
            <w:tr w:rsidR="00B86CF1" w14:paraId="4089556C" w14:textId="77777777" w:rsidTr="576FD25B">
              <w:tblPrEx>
                <w:tblBorders>
                  <w:top w:val="none" w:sz="0" w:space="0" w:color="auto"/>
                </w:tblBorders>
              </w:tblPrEx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4C74D6B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proofErr w:type="spellStart"/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cms_risk</w:t>
                  </w:r>
                  <w:proofErr w:type="spellEnd"/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_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CF1CEBF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Mean (SD)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3955D2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1.27 (1.05)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423DDB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1.13 (0.90)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7EFC831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1.12 (0.64)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83D5D7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1.46 (1.22)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2536CDD6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1.38 (1.08)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283420A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&lt;0.0001*</w:t>
                  </w:r>
                </w:p>
              </w:tc>
            </w:tr>
            <w:tr w:rsidR="00B86CF1" w14:paraId="7C167345" w14:textId="77777777" w:rsidTr="576FD25B">
              <w:tc>
                <w:tcPr>
                  <w:tcW w:w="1188" w:type="dxa"/>
                  <w:tcBorders>
                    <w:top w:val="single" w:sz="8" w:space="0" w:color="BFBFBF" w:themeColor="background1" w:themeShade="BF"/>
                    <w:left w:val="single" w:sz="6" w:space="0" w:color="auto"/>
                    <w:bottom w:val="single" w:sz="6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6F9ED744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Proximity to Primary KP Facility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6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BB52D09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Mean (SD)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6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08D8A50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8.43 (53.18)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6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0FFE2F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8.52 (56.24)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6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33B24D7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5.29 (6.20)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6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A535348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9.30 (57.86)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6" w:space="0" w:color="auto"/>
                    <w:right w:val="single" w:sz="8" w:space="0" w:color="BFBFBF" w:themeColor="background1" w:themeShade="BF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49AEC4B3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7.89 (47.68)</w:t>
                  </w:r>
                </w:p>
              </w:tc>
              <w:tc>
                <w:tcPr>
                  <w:tcW w:w="1080" w:type="dxa"/>
                  <w:tcBorders>
                    <w:top w:val="single" w:sz="8" w:space="0" w:color="BFBFBF" w:themeColor="background1" w:themeShade="BF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100" w:type="nil"/>
                    <w:left w:w="60" w:type="nil"/>
                    <w:right w:w="60" w:type="nil"/>
                  </w:tcMar>
                </w:tcPr>
                <w:p w14:paraId="50BCF52C" w14:textId="77777777" w:rsidR="00B86CF1" w:rsidRPr="00DD7864" w:rsidRDefault="00B86CF1" w:rsidP="00EE4FC2">
                  <w:pPr>
                    <w:framePr w:hSpace="180" w:wrap="around" w:vAnchor="page" w:hAnchor="margin" w:y="2581"/>
                    <w:autoSpaceDE w:val="0"/>
                    <w:autoSpaceDN w:val="0"/>
                    <w:adjustRightInd w:val="0"/>
                    <w:spacing w:before="60" w:after="60" w:line="240" w:lineRule="auto"/>
                    <w:contextualSpacing/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</w:pPr>
                  <w:r w:rsidRPr="00DD7864">
                    <w:rPr>
                      <w:rFonts w:ascii="Calibri" w:hAnsi="Calibri" w:cs="Calibri"/>
                      <w:sz w:val="16"/>
                      <w:szCs w:val="16"/>
                      <w:lang w:bidi="hi-IN"/>
                    </w:rPr>
                    <w:t>0.0117</w:t>
                  </w:r>
                </w:p>
              </w:tc>
            </w:tr>
          </w:tbl>
          <w:p w14:paraId="0451198D" w14:textId="77777777" w:rsidR="00B86CF1" w:rsidRDefault="00B86CF1" w:rsidP="00B86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  <w:p w14:paraId="2464A676" w14:textId="36429696" w:rsidR="00B86CF1" w:rsidRDefault="00B86CF1" w:rsidP="0048655A">
            <w:pPr>
              <w:spacing w:line="259" w:lineRule="auto"/>
            </w:pPr>
            <w:r w:rsidRPr="00B86CF1">
              <w:t xml:space="preserve">Table 2. Results of Cox Proportional Hazards Models Estimating Time to Avoidable </w:t>
            </w:r>
            <w:proofErr w:type="spellStart"/>
            <w:r w:rsidRPr="00B86CF1">
              <w:t>Hospitalizatio</w:t>
            </w:r>
            <w:proofErr w:type="spellEnd"/>
            <w:r w:rsidRPr="00B86CF1">
              <w:t xml:space="preserve"> or ED Use During the 1st 12 Months Follow Dual Eligibility</w:t>
            </w:r>
          </w:p>
          <w:tbl>
            <w:tblPr>
              <w:tblW w:w="88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0"/>
              <w:gridCol w:w="2391"/>
              <w:gridCol w:w="1660"/>
              <w:gridCol w:w="1660"/>
            </w:tblGrid>
            <w:tr w:rsidR="00B86CF1" w:rsidRPr="00B86CF1" w14:paraId="43A46FBE" w14:textId="77777777" w:rsidTr="576FD25B">
              <w:trPr>
                <w:divId w:val="1044794387"/>
                <w:trHeight w:val="960"/>
              </w:trPr>
              <w:tc>
                <w:tcPr>
                  <w:tcW w:w="3180" w:type="dxa"/>
                  <w:shd w:val="clear" w:color="auto" w:fill="A6A6A6" w:themeFill="background1" w:themeFillShade="A6"/>
                  <w:vAlign w:val="bottom"/>
                  <w:hideMark/>
                </w:tcPr>
                <w:p w14:paraId="14D29EC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Covariates</w:t>
                  </w:r>
                </w:p>
              </w:tc>
              <w:tc>
                <w:tcPr>
                  <w:tcW w:w="2391" w:type="dxa"/>
                  <w:shd w:val="clear" w:color="auto" w:fill="A6A6A6" w:themeFill="background1" w:themeFillShade="A6"/>
                  <w:vAlign w:val="center"/>
                  <w:hideMark/>
                </w:tcPr>
                <w:p w14:paraId="6F22C70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b/>
                      <w:bCs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b/>
                      <w:bCs/>
                      <w:color w:val="22222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shd w:val="clear" w:color="auto" w:fill="A6A6A6" w:themeFill="background1" w:themeFillShade="A6"/>
                  <w:vAlign w:val="center"/>
                  <w:hideMark/>
                </w:tcPr>
                <w:p w14:paraId="24397BD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b/>
                      <w:bCs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b/>
                      <w:bCs/>
                      <w:color w:val="222222"/>
                      <w:sz w:val="16"/>
                      <w:szCs w:val="16"/>
                    </w:rPr>
                    <w:t>Hazard Ratio (Adjusted)</w:t>
                  </w:r>
                </w:p>
              </w:tc>
              <w:tc>
                <w:tcPr>
                  <w:tcW w:w="1660" w:type="dxa"/>
                  <w:shd w:val="clear" w:color="auto" w:fill="A6A6A6" w:themeFill="background1" w:themeFillShade="A6"/>
                  <w:vAlign w:val="center"/>
                  <w:hideMark/>
                </w:tcPr>
                <w:p w14:paraId="4C5067A1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b/>
                      <w:bCs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b/>
                      <w:bCs/>
                      <w:color w:val="222222"/>
                      <w:sz w:val="16"/>
                      <w:szCs w:val="16"/>
                    </w:rPr>
                    <w:t>95% Confidence Interval</w:t>
                  </w:r>
                </w:p>
              </w:tc>
            </w:tr>
            <w:tr w:rsidR="00B86CF1" w:rsidRPr="00B86CF1" w14:paraId="3998A7A3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165FA737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Facility (ref=Central Valley)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6E9E9EA0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638626D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4C24C4A4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b/>
                      <w:bCs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b/>
                      <w:bCs/>
                      <w:color w:val="222222"/>
                      <w:sz w:val="16"/>
                      <w:szCs w:val="16"/>
                    </w:rPr>
                    <w:t> </w:t>
                  </w:r>
                </w:p>
              </w:tc>
            </w:tr>
            <w:tr w:rsidR="00B86CF1" w:rsidRPr="00B86CF1" w14:paraId="2115AA4D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3063ECC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04809DD1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Diablo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532FB8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0.87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1FE7F7A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(0.7,1.08)</w:t>
                  </w:r>
                </w:p>
              </w:tc>
            </w:tr>
            <w:tr w:rsidR="00B86CF1" w:rsidRPr="00B86CF1" w14:paraId="67A3EC3B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57330883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5BDA80CD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East Bay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688C11E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0.81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6098F961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(0.66,0.98)</w:t>
                  </w:r>
                </w:p>
              </w:tc>
            </w:tr>
            <w:tr w:rsidR="00B86CF1" w:rsidRPr="00B86CF1" w14:paraId="27C5FD5B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16AA8627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26E93D2B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Fresno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CDC5A89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0.78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C8A114A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(0.62,0.97)</w:t>
                  </w:r>
                </w:p>
              </w:tc>
            </w:tr>
            <w:tr w:rsidR="00B86CF1" w:rsidRPr="00B86CF1" w14:paraId="1C0CD796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71954BB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0787C75D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Greater San Francisco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7EF800B1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0.74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B3F7233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(0.58,0.95)</w:t>
                  </w:r>
                </w:p>
              </w:tc>
            </w:tr>
            <w:tr w:rsidR="00B86CF1" w:rsidRPr="00B86CF1" w14:paraId="445D90FD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33B74CCA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1A09BD2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Greater Southern Alameda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2AB080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0.75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765F62C8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(0.6,0.93)</w:t>
                  </w:r>
                </w:p>
              </w:tc>
            </w:tr>
            <w:tr w:rsidR="00B86CF1" w:rsidRPr="00B86CF1" w14:paraId="74E50FD0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54900DE7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35724883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Marin / Sonoma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7C548B26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0.87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26B2E89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(0.68,1.11)</w:t>
                  </w:r>
                </w:p>
              </w:tc>
            </w:tr>
            <w:tr w:rsidR="00B86CF1" w:rsidRPr="00B86CF1" w14:paraId="17DED291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129C9AC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1CEB3DE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Napa / Solano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7B1BC4E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0.83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4891AE76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(0.66,1.05)</w:t>
                  </w:r>
                </w:p>
              </w:tc>
            </w:tr>
            <w:tr w:rsidR="00B86CF1" w:rsidRPr="00B86CF1" w14:paraId="108390A7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5A40B527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7F72870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Redwood City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67B262DE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4187C454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(0.58,1.73)</w:t>
                  </w:r>
                </w:p>
              </w:tc>
            </w:tr>
            <w:tr w:rsidR="00B86CF1" w:rsidRPr="00B86CF1" w14:paraId="43B934DB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22510AB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1A15FE1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Roseville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8C1240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0.71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490D7F3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(0.57,0.88)</w:t>
                  </w:r>
                </w:p>
              </w:tc>
            </w:tr>
            <w:tr w:rsidR="00B86CF1" w:rsidRPr="00B86CF1" w14:paraId="74EBA48B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332D9C83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77DA1717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Sacramento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4B4D4D4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0.69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28558C14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(0.57,0.85)</w:t>
                  </w:r>
                </w:p>
              </w:tc>
            </w:tr>
            <w:tr w:rsidR="00B86CF1" w:rsidRPr="00B86CF1" w14:paraId="2AF100F5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0F145B11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1AF64450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San Jose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74A7802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0.8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8ED841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(0.58,1.11)</w:t>
                  </w:r>
                </w:p>
              </w:tc>
            </w:tr>
            <w:tr w:rsidR="00B86CF1" w:rsidRPr="00B86CF1" w14:paraId="5AF9D005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7ABE7CF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78CDC269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Santa Clara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8A8218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0.75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351AAA08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(0.55,1.02)</w:t>
                  </w:r>
                </w:p>
              </w:tc>
            </w:tr>
            <w:tr w:rsidR="00B86CF1" w:rsidRPr="00B86CF1" w14:paraId="5E13F11C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3CAE24D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7FC8EBFA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South Sacramento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A11D0C7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0.74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78833EFA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(0.6,0.9)</w:t>
                  </w:r>
                </w:p>
              </w:tc>
            </w:tr>
            <w:tr w:rsidR="00B86CF1" w:rsidRPr="00B86CF1" w14:paraId="2C3E0D70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3E15956A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Age (ref=&lt;50)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5D11DFF8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Age:(50,65]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11CA0C7B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0.69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F4D86EE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(0.6,0.8)</w:t>
                  </w:r>
                </w:p>
              </w:tc>
            </w:tr>
            <w:tr w:rsidR="00B86CF1" w:rsidRPr="00B86CF1" w14:paraId="18AE7C53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6396454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16EC6221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Age:(65,80]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57D3B59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0.58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305A7104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(0.5,0.68)</w:t>
                  </w:r>
                </w:p>
              </w:tc>
            </w:tr>
            <w:tr w:rsidR="00B86CF1" w:rsidRPr="00B86CF1" w14:paraId="1DEDF466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78E435C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65EFBA8E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Age:(80,106]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38D4BA5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0.7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3FCA25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(0.58,0.84)</w:t>
                  </w:r>
                </w:p>
              </w:tc>
            </w:tr>
            <w:tr w:rsidR="00B86CF1" w:rsidRPr="00B86CF1" w14:paraId="4BE3AD46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4CC5B76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Dual Subtype (ref=D-SNP Only)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58190BA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spell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Dual:D-SNP+MCMC</w:t>
                  </w:r>
                  <w:proofErr w:type="spellEnd"/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3E0284E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0.76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9772C19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(0.6,0.96)</w:t>
                  </w:r>
                </w:p>
              </w:tc>
            </w:tr>
            <w:tr w:rsidR="00B86CF1" w:rsidRPr="00B86CF1" w14:paraId="2B31E7DD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787B295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27EF24A3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Dual:KPSA</w:t>
                  </w:r>
                  <w:proofErr w:type="spellEnd"/>
                  <w:proofErr w:type="gramEnd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 xml:space="preserve"> Only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1C5D5643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0.82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43C30209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(0.73,0.93)</w:t>
                  </w:r>
                </w:p>
              </w:tc>
            </w:tr>
            <w:tr w:rsidR="00B86CF1" w:rsidRPr="00B86CF1" w14:paraId="7DC6BC79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3498E5E6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68B86F8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Dual:KPSA</w:t>
                  </w:r>
                  <w:proofErr w:type="gramEnd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+MCMC</w:t>
                  </w:r>
                  <w:proofErr w:type="spellEnd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/MCMC Only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69ACEF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0.91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7C0242B9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(0.79,1.06)</w:t>
                  </w:r>
                </w:p>
              </w:tc>
            </w:tr>
            <w:tr w:rsidR="00B86CF1" w:rsidRPr="00B86CF1" w14:paraId="10111919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4C39652B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Race (ref=white)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50EAFC29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Race:Asian</w:t>
                  </w:r>
                  <w:proofErr w:type="spellEnd"/>
                  <w:proofErr w:type="gramEnd"/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61D88D0E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0.73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4BA83BF6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(0.61,0.87)</w:t>
                  </w:r>
                </w:p>
              </w:tc>
            </w:tr>
            <w:tr w:rsidR="00B86CF1" w:rsidRPr="00B86CF1" w14:paraId="20F6573A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7AFC878E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44E94A9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Race:Black</w:t>
                  </w:r>
                  <w:proofErr w:type="spellEnd"/>
                  <w:proofErr w:type="gramEnd"/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44E08F4D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1.05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75E6592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(0.91,1.2)</w:t>
                  </w:r>
                </w:p>
              </w:tc>
            </w:tr>
            <w:tr w:rsidR="00B86CF1" w:rsidRPr="00B86CF1" w14:paraId="1E0E9EB8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257D18E0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4B3003D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Race:Latino</w:t>
                  </w:r>
                  <w:proofErr w:type="spellEnd"/>
                  <w:proofErr w:type="gramEnd"/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C0F5CD8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0.96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44697DD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(0.84,1.1)</w:t>
                  </w:r>
                </w:p>
              </w:tc>
            </w:tr>
            <w:tr w:rsidR="00B86CF1" w:rsidRPr="00B86CF1" w14:paraId="5C1A34B9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31EBAFFE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39CB7120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Race:Missing</w:t>
                  </w:r>
                  <w:proofErr w:type="spellEnd"/>
                  <w:proofErr w:type="gramEnd"/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4CBFA7E6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1.08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6F99032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(0.73,1.61)</w:t>
                  </w:r>
                </w:p>
              </w:tc>
            </w:tr>
            <w:tr w:rsidR="00B86CF1" w:rsidRPr="00B86CF1" w14:paraId="1D29FFAA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7465835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756C43D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Race:Other</w:t>
                  </w:r>
                  <w:proofErr w:type="spellEnd"/>
                  <w:proofErr w:type="gramEnd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/Mixed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572B783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1.04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2CF70FE8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(0.75,1.43)</w:t>
                  </w:r>
                </w:p>
              </w:tc>
            </w:tr>
            <w:tr w:rsidR="00B86CF1" w:rsidRPr="00B86CF1" w14:paraId="5EDFAD80" w14:textId="77777777" w:rsidTr="576FD25B">
              <w:trPr>
                <w:divId w:val="1044794387"/>
                <w:trHeight w:val="30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6F41E210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Elixhauser</w:t>
                  </w:r>
                  <w:proofErr w:type="spellEnd"/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Comorbidity Score (ref=Quartile 1: lowest comorbidity)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4D8A80B0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Elix:Q</w:t>
                  </w:r>
                  <w:proofErr w:type="gramEnd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2:3-4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577C9F6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3.48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6F8BBD07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(2.73,4.45)</w:t>
                  </w:r>
                </w:p>
              </w:tc>
            </w:tr>
            <w:tr w:rsidR="00B86CF1" w:rsidRPr="00B86CF1" w14:paraId="6D74725C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4610005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6EEAA2B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Elix:Q</w:t>
                  </w:r>
                  <w:proofErr w:type="gramEnd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3:5-7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3A71F3EB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7.78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40A74E5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(6.06,9.99)</w:t>
                  </w:r>
                </w:p>
              </w:tc>
            </w:tr>
            <w:tr w:rsidR="00B86CF1" w:rsidRPr="00B86CF1" w14:paraId="5C7DC155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275413B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5F84C9F7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Elix:Q</w:t>
                  </w:r>
                  <w:proofErr w:type="gramEnd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4:7-23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444DFF3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19.92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6150313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(15.82,25.07)</w:t>
                  </w:r>
                </w:p>
              </w:tc>
            </w:tr>
            <w:tr w:rsidR="00B86CF1" w:rsidRPr="00B86CF1" w14:paraId="5D5D2D13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5F6EC15A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36FC93FB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Elix:Miss</w:t>
                  </w:r>
                  <w:proofErr w:type="spellEnd"/>
                  <w:proofErr w:type="gramEnd"/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12C5C87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48A78319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</w:t>
                  </w:r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0,Inf</w:t>
                  </w:r>
                  <w:proofErr w:type="gramEnd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)</w:t>
                  </w:r>
                </w:p>
              </w:tc>
            </w:tr>
            <w:tr w:rsidR="00B86CF1" w:rsidRPr="00B86CF1" w14:paraId="7B1273C8" w14:textId="77777777" w:rsidTr="576FD25B">
              <w:trPr>
                <w:divId w:val="1044794387"/>
                <w:trHeight w:val="60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5A97075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Neighborhood Deprivation Index (ref=Quartile 1: highest SES)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6F00B153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NDI:Q</w:t>
                  </w:r>
                  <w:proofErr w:type="gramEnd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89FA38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1.28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6F506A7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(1.05,1.57)</w:t>
                  </w:r>
                </w:p>
              </w:tc>
            </w:tr>
            <w:tr w:rsidR="00B86CF1" w:rsidRPr="00B86CF1" w14:paraId="79913FA6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0DF0C45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68A9A4E8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NDI:Q</w:t>
                  </w:r>
                  <w:proofErr w:type="gramEnd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4F284DEB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1.41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84210F4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(1.16,1.72)</w:t>
                  </w:r>
                </w:p>
              </w:tc>
            </w:tr>
            <w:tr w:rsidR="00B86CF1" w:rsidRPr="00B86CF1" w14:paraId="1137C5A0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5443A96E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42C7D0FB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NDI:Q</w:t>
                  </w:r>
                  <w:proofErr w:type="gramEnd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06A8F5DE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1.53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1AED0078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(1.26,1.86)</w:t>
                  </w:r>
                </w:p>
              </w:tc>
            </w:tr>
            <w:tr w:rsidR="00B86CF1" w:rsidRPr="00B86CF1" w14:paraId="62F2EB81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23A55049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1805CD19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NDI:Miss</w:t>
                  </w:r>
                  <w:proofErr w:type="spellEnd"/>
                  <w:proofErr w:type="gramEnd"/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319A03F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1.43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7C97B47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(1.01,2.03)</w:t>
                  </w:r>
                </w:p>
              </w:tc>
            </w:tr>
            <w:tr w:rsidR="00B86CF1" w:rsidRPr="00B86CF1" w14:paraId="3658AD70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1C41AF93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KP.org Use (</w:t>
                  </w:r>
                  <w:proofErr w:type="spellStart"/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rer</w:t>
                  </w:r>
                  <w:proofErr w:type="spellEnd"/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=yes)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1EF9499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proofErr w:type="spell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Kp_</w:t>
                  </w:r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org:No</w:t>
                  </w:r>
                  <w:proofErr w:type="spellEnd"/>
                  <w:proofErr w:type="gramEnd"/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5C89A9C8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1.34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28433BC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(1.2,1.5)</w:t>
                  </w:r>
                </w:p>
              </w:tc>
            </w:tr>
            <w:tr w:rsidR="00B86CF1" w:rsidRPr="00B86CF1" w14:paraId="2B86E4C0" w14:textId="77777777" w:rsidTr="576FD25B">
              <w:trPr>
                <w:divId w:val="1044794387"/>
                <w:trHeight w:val="60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0302765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Race concordance between patient and physician (ref=yes)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108364A4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 xml:space="preserve">Race </w:t>
                  </w:r>
                  <w:proofErr w:type="spellStart"/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concord:No</w:t>
                  </w:r>
                  <w:proofErr w:type="spellEnd"/>
                  <w:proofErr w:type="gramEnd"/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1BB8AA6B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1.07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166E9640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(0.95,1.21)</w:t>
                  </w:r>
                </w:p>
              </w:tc>
            </w:tr>
            <w:tr w:rsidR="00B86CF1" w:rsidRPr="00B86CF1" w14:paraId="00A48A41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710268D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047E2C06" w14:textId="2B1814AF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Race concord:</w:t>
                  </w:r>
                  <w:r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Miss</w:t>
                  </w:r>
                  <w:r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ing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776BA324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0.96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775E886C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(0.78,1.19)</w:t>
                  </w:r>
                </w:p>
              </w:tc>
            </w:tr>
            <w:tr w:rsidR="00B86CF1" w:rsidRPr="00B86CF1" w14:paraId="5B7A88CC" w14:textId="77777777" w:rsidTr="576FD25B">
              <w:trPr>
                <w:divId w:val="1044794387"/>
                <w:trHeight w:val="60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43588C32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Language concordance between patient and physician (ref=yes)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370736ED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 xml:space="preserve">Lang </w:t>
                  </w:r>
                  <w:proofErr w:type="spellStart"/>
                  <w:proofErr w:type="gramStart"/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concord:No</w:t>
                  </w:r>
                  <w:proofErr w:type="spellEnd"/>
                  <w:proofErr w:type="gramEnd"/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2AD30275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0.81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7C120C9B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(0.68,0.96)</w:t>
                  </w:r>
                </w:p>
              </w:tc>
            </w:tr>
            <w:tr w:rsidR="00B86CF1" w:rsidRPr="00B86CF1" w14:paraId="6351AC67" w14:textId="77777777" w:rsidTr="576FD25B">
              <w:trPr>
                <w:divId w:val="1044794387"/>
                <w:trHeight w:val="320"/>
              </w:trPr>
              <w:tc>
                <w:tcPr>
                  <w:tcW w:w="3180" w:type="dxa"/>
                  <w:shd w:val="clear" w:color="auto" w:fill="auto"/>
                  <w:vAlign w:val="bottom"/>
                  <w:hideMark/>
                </w:tcPr>
                <w:p w14:paraId="06DEE8E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  <w:hideMark/>
                </w:tcPr>
                <w:p w14:paraId="309ABEBD" w14:textId="5347A5F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Lang concord:</w:t>
                  </w:r>
                  <w:r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 xml:space="preserve"> </w:t>
                  </w: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Miss</w:t>
                  </w:r>
                  <w:r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ing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3B942F0E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jc w:val="right"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2.85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  <w:hideMark/>
                </w:tcPr>
                <w:p w14:paraId="3EDDF01F" w14:textId="77777777" w:rsidR="00B86CF1" w:rsidRPr="00DD7864" w:rsidRDefault="00B86CF1" w:rsidP="00EE4FC2">
                  <w:pPr>
                    <w:framePr w:hSpace="180" w:wrap="around" w:vAnchor="page" w:hAnchor="margin" w:y="2581"/>
                    <w:spacing w:line="240" w:lineRule="auto"/>
                    <w:contextualSpacing/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</w:pPr>
                  <w:r w:rsidRPr="00DD7864">
                    <w:rPr>
                      <w:rFonts w:ascii="Calibri" w:hAnsi="Calibri" w:cs="Calibri"/>
                      <w:color w:val="222222"/>
                      <w:sz w:val="16"/>
                      <w:szCs w:val="16"/>
                    </w:rPr>
                    <w:t>(0.71,11.49)</w:t>
                  </w:r>
                </w:p>
              </w:tc>
            </w:tr>
          </w:tbl>
          <w:p w14:paraId="3397D960" w14:textId="77777777" w:rsidR="00B86CF1" w:rsidRDefault="00B86CF1" w:rsidP="0048655A">
            <w:pPr>
              <w:spacing w:line="259" w:lineRule="auto"/>
            </w:pPr>
          </w:p>
          <w:p w14:paraId="79C12FD6" w14:textId="5B621A25" w:rsidR="0048655A" w:rsidRDefault="00B86CF1" w:rsidP="0048655A">
            <w:pPr>
              <w:spacing w:line="259" w:lineRule="auto"/>
              <w:rPr>
                <w:rFonts w:ascii="Arial" w:hAnsi="Arial" w:cs="Arial"/>
                <w:lang w:val="en"/>
              </w:rPr>
            </w:pPr>
            <w:r w:rsidRPr="00DD7864">
              <w:rPr>
                <w:b/>
                <w:bCs/>
              </w:rPr>
              <w:t>References:</w:t>
            </w:r>
          </w:p>
          <w:p w14:paraId="616C7131" w14:textId="77777777" w:rsidR="00B86CF1" w:rsidRPr="00DD7864" w:rsidRDefault="00B86CF1" w:rsidP="0048655A">
            <w:pPr>
              <w:spacing w:line="259" w:lineRule="auto"/>
              <w:rPr>
                <w:rFonts w:ascii="Arial" w:hAnsi="Arial" w:cs="Arial"/>
                <w:lang w:val="en"/>
              </w:rPr>
            </w:pPr>
          </w:p>
          <w:p w14:paraId="035524A6" w14:textId="77293346" w:rsidR="00B86CF1" w:rsidRDefault="00B86CF1" w:rsidP="00DD786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val="en"/>
              </w:rPr>
            </w:pPr>
            <w:proofErr w:type="spellStart"/>
            <w:r w:rsidRPr="00AB0E1C">
              <w:rPr>
                <w:rFonts w:ascii="Arial" w:hAnsi="Arial" w:cs="Arial"/>
                <w:lang w:val="en"/>
              </w:rPr>
              <w:t>MedPAC</w:t>
            </w:r>
            <w:proofErr w:type="spellEnd"/>
            <w:r w:rsidRPr="00AB0E1C">
              <w:rPr>
                <w:rFonts w:ascii="Arial" w:hAnsi="Arial" w:cs="Arial"/>
                <w:lang w:val="en"/>
              </w:rPr>
              <w:t xml:space="preserve">. A Data Book: Health Care spending and the Medicare Program. Chapter 4. Dual Eligible Beneficiaries. </w:t>
            </w:r>
            <w:hyperlink r:id="rId10" w:history="1">
              <w:r w:rsidRPr="00AB0E1C">
                <w:rPr>
                  <w:rStyle w:val="Hyperlink"/>
                  <w:rFonts w:ascii="Arial" w:hAnsi="Arial" w:cs="Arial"/>
                  <w:lang w:val="en"/>
                </w:rPr>
                <w:t>http://www.medpac.gov/docs/default-source/data-book/jun18_databookentirereport_sec.pdf?sfvrsn=0</w:t>
              </w:r>
            </w:hyperlink>
            <w:r w:rsidRPr="00AB0E1C">
              <w:rPr>
                <w:rFonts w:ascii="Arial" w:hAnsi="Arial" w:cs="Arial"/>
                <w:lang w:val="en"/>
              </w:rPr>
              <w:t>. 2018.</w:t>
            </w:r>
          </w:p>
          <w:p w14:paraId="02A109E2" w14:textId="43B1AB4B" w:rsidR="008B0AC5" w:rsidRPr="00DD7864" w:rsidRDefault="008B0AC5" w:rsidP="00DD786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val="en"/>
              </w:rPr>
            </w:pPr>
            <w:r w:rsidRPr="00AB0E1C">
              <w:rPr>
                <w:rFonts w:ascii="Arial" w:hAnsi="Arial" w:cs="Arial"/>
              </w:rPr>
              <w:t xml:space="preserve">Ferris R, </w:t>
            </w:r>
            <w:proofErr w:type="spellStart"/>
            <w:r w:rsidRPr="00AB0E1C">
              <w:rPr>
                <w:rFonts w:ascii="Arial" w:hAnsi="Arial" w:cs="Arial"/>
              </w:rPr>
              <w:t>Blaum</w:t>
            </w:r>
            <w:proofErr w:type="spellEnd"/>
            <w:r w:rsidRPr="00AB0E1C">
              <w:rPr>
                <w:rFonts w:ascii="Arial" w:hAnsi="Arial" w:cs="Arial"/>
              </w:rPr>
              <w:t xml:space="preserve"> C, </w:t>
            </w:r>
            <w:proofErr w:type="spellStart"/>
            <w:r w:rsidRPr="00AB0E1C">
              <w:rPr>
                <w:rFonts w:ascii="Arial" w:hAnsi="Arial" w:cs="Arial"/>
              </w:rPr>
              <w:t>Kiwak</w:t>
            </w:r>
            <w:proofErr w:type="spellEnd"/>
            <w:r w:rsidRPr="00AB0E1C">
              <w:rPr>
                <w:rFonts w:ascii="Arial" w:hAnsi="Arial" w:cs="Arial"/>
              </w:rPr>
              <w:t xml:space="preserve"> E, et al. Perspectives of Patients, Clinicians, and Health System Leaders on Changes Needed to Improve the Health Care and Outcomes of Older Adults </w:t>
            </w:r>
            <w:proofErr w:type="gramStart"/>
            <w:r w:rsidRPr="00AB0E1C">
              <w:rPr>
                <w:rFonts w:ascii="Arial" w:hAnsi="Arial" w:cs="Arial"/>
              </w:rPr>
              <w:t>With</w:t>
            </w:r>
            <w:proofErr w:type="gramEnd"/>
            <w:r w:rsidRPr="00AB0E1C">
              <w:rPr>
                <w:rFonts w:ascii="Arial" w:hAnsi="Arial" w:cs="Arial"/>
              </w:rPr>
              <w:t xml:space="preserve"> Multiple Chronic Conditions. </w:t>
            </w:r>
            <w:r w:rsidRPr="00AB0E1C">
              <w:rPr>
                <w:rFonts w:ascii="Arial" w:hAnsi="Arial" w:cs="Arial"/>
                <w:i/>
                <w:iCs/>
              </w:rPr>
              <w:t>J Aging Health</w:t>
            </w:r>
            <w:r w:rsidRPr="00AB0E1C">
              <w:rPr>
                <w:rFonts w:ascii="Arial" w:hAnsi="Arial" w:cs="Arial"/>
              </w:rPr>
              <w:t>. 2018;30(5):778-799.</w:t>
            </w:r>
          </w:p>
          <w:p w14:paraId="19FD8DCC" w14:textId="77777777" w:rsidR="008B0AC5" w:rsidRPr="00AB0E1C" w:rsidRDefault="00EE4FC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val="en"/>
              </w:rPr>
            </w:pPr>
            <w:hyperlink r:id="rId11" w:history="1">
              <w:r w:rsidR="008B0AC5" w:rsidRPr="00AB0E1C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val="en"/>
                </w:rPr>
                <w:t>Jung HY</w:t>
              </w:r>
            </w:hyperlink>
            <w:r w:rsidR="008B0AC5" w:rsidRPr="00AB0E1C">
              <w:rPr>
                <w:rFonts w:ascii="Arial" w:eastAsia="Times New Roman" w:hAnsi="Arial" w:cs="Arial"/>
                <w:lang w:val="en"/>
              </w:rPr>
              <w:t xml:space="preserve">, </w:t>
            </w:r>
            <w:hyperlink r:id="rId12" w:history="1">
              <w:r w:rsidR="008B0AC5" w:rsidRPr="00AB0E1C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val="en"/>
                </w:rPr>
                <w:t>Trivedi AN</w:t>
              </w:r>
            </w:hyperlink>
            <w:r w:rsidR="008B0AC5" w:rsidRPr="00AB0E1C">
              <w:rPr>
                <w:rFonts w:ascii="Arial" w:eastAsia="Times New Roman" w:hAnsi="Arial" w:cs="Arial"/>
                <w:lang w:val="en"/>
              </w:rPr>
              <w:t xml:space="preserve">, </w:t>
            </w:r>
            <w:hyperlink r:id="rId13" w:history="1">
              <w:r w:rsidR="008B0AC5" w:rsidRPr="00AB0E1C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val="en"/>
                </w:rPr>
                <w:t>Grabowski DC</w:t>
              </w:r>
            </w:hyperlink>
            <w:r w:rsidR="008B0AC5" w:rsidRPr="00AB0E1C">
              <w:rPr>
                <w:rFonts w:ascii="Arial" w:eastAsia="Times New Roman" w:hAnsi="Arial" w:cs="Arial"/>
                <w:lang w:val="en"/>
              </w:rPr>
              <w:t xml:space="preserve">, </w:t>
            </w:r>
            <w:hyperlink r:id="rId14" w:history="1">
              <w:proofErr w:type="spellStart"/>
              <w:r w:rsidR="008B0AC5" w:rsidRPr="00AB0E1C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val="en"/>
                </w:rPr>
                <w:t>Mor</w:t>
              </w:r>
              <w:proofErr w:type="spellEnd"/>
              <w:r w:rsidR="008B0AC5" w:rsidRPr="00AB0E1C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val="en"/>
                </w:rPr>
                <w:t xml:space="preserve"> V</w:t>
              </w:r>
            </w:hyperlink>
            <w:r w:rsidR="008B0AC5" w:rsidRPr="00AB0E1C">
              <w:rPr>
                <w:rFonts w:ascii="Arial" w:eastAsia="Times New Roman" w:hAnsi="Arial" w:cs="Arial"/>
                <w:lang w:val="en"/>
              </w:rPr>
              <w:t>.</w:t>
            </w:r>
            <w:r w:rsidR="008B0AC5" w:rsidRPr="00AB0E1C">
              <w:rPr>
                <w:rFonts w:ascii="Arial" w:eastAsia="Times New Roman" w:hAnsi="Arial" w:cs="Arial"/>
                <w:bCs/>
                <w:kern w:val="36"/>
                <w:lang w:val="en"/>
              </w:rPr>
              <w:t xml:space="preserve"> Integrated Medicare and Medicaid managed care and rehospitalization of dual </w:t>
            </w:r>
            <w:proofErr w:type="spellStart"/>
            <w:r w:rsidR="008B0AC5" w:rsidRPr="00AB0E1C">
              <w:rPr>
                <w:rFonts w:ascii="Arial" w:eastAsia="Times New Roman" w:hAnsi="Arial" w:cs="Arial"/>
                <w:bCs/>
                <w:kern w:val="36"/>
                <w:lang w:val="en"/>
              </w:rPr>
              <w:t>eligibles</w:t>
            </w:r>
            <w:proofErr w:type="spellEnd"/>
            <w:r w:rsidR="008B0AC5" w:rsidRPr="00AB0E1C">
              <w:rPr>
                <w:rFonts w:ascii="Arial" w:eastAsia="Times New Roman" w:hAnsi="Arial" w:cs="Arial"/>
                <w:bCs/>
                <w:kern w:val="36"/>
                <w:lang w:val="en"/>
              </w:rPr>
              <w:t>.</w:t>
            </w:r>
            <w:r w:rsidR="008B0AC5" w:rsidRPr="00AB0E1C">
              <w:rPr>
                <w:rFonts w:ascii="Arial" w:eastAsia="Times New Roman" w:hAnsi="Arial" w:cs="Arial"/>
                <w:lang w:val="en"/>
              </w:rPr>
              <w:t xml:space="preserve"> </w:t>
            </w:r>
            <w:hyperlink r:id="rId15" w:tooltip="The American journal of managed care." w:history="1">
              <w:r w:rsidR="008B0AC5" w:rsidRPr="00AB0E1C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val="en"/>
                </w:rPr>
                <w:t xml:space="preserve">Am J </w:t>
              </w:r>
              <w:proofErr w:type="spellStart"/>
              <w:r w:rsidR="008B0AC5" w:rsidRPr="00AB0E1C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val="en"/>
                </w:rPr>
                <w:t>Manag</w:t>
              </w:r>
              <w:proofErr w:type="spellEnd"/>
              <w:r w:rsidR="008B0AC5" w:rsidRPr="00AB0E1C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val="en"/>
                </w:rPr>
                <w:t xml:space="preserve"> Care.</w:t>
              </w:r>
            </w:hyperlink>
            <w:r w:rsidR="008B0AC5" w:rsidRPr="00AB0E1C">
              <w:rPr>
                <w:rFonts w:ascii="Arial" w:eastAsia="Times New Roman" w:hAnsi="Arial" w:cs="Arial"/>
                <w:lang w:val="en"/>
              </w:rPr>
              <w:t xml:space="preserve"> 2015 Oct;21(10):711-7.</w:t>
            </w:r>
          </w:p>
          <w:p w14:paraId="2F3597D6" w14:textId="77777777" w:rsidR="008B0AC5" w:rsidRPr="00AB0E1C" w:rsidRDefault="008B0AC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lang w:val="en"/>
              </w:rPr>
            </w:pPr>
            <w:r w:rsidRPr="00AB0E1C">
              <w:rPr>
                <w:rFonts w:ascii="Arial" w:hAnsi="Arial" w:cs="Arial"/>
              </w:rPr>
              <w:t xml:space="preserve">Bennett KJ, Probst JC. Thirty-Day Readmission Rates Among Dual-Eligible Beneficiaries. </w:t>
            </w:r>
            <w:r w:rsidRPr="00AB0E1C">
              <w:rPr>
                <w:rFonts w:ascii="Arial" w:hAnsi="Arial" w:cs="Arial"/>
                <w:i/>
                <w:iCs/>
              </w:rPr>
              <w:t>J Rural Health</w:t>
            </w:r>
            <w:r w:rsidRPr="00AB0E1C">
              <w:rPr>
                <w:rFonts w:ascii="Arial" w:hAnsi="Arial" w:cs="Arial"/>
              </w:rPr>
              <w:t>. 2016;32(2):188-195.</w:t>
            </w:r>
          </w:p>
          <w:p w14:paraId="421C62C8" w14:textId="46AA54C5" w:rsidR="008B0AC5" w:rsidRPr="00AB0E1C" w:rsidRDefault="008B0AC5" w:rsidP="00DD78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B0E1C">
              <w:rPr>
                <w:rFonts w:ascii="Arial" w:hAnsi="Arial" w:cs="Arial"/>
              </w:rPr>
              <w:t xml:space="preserve">Block J. Dual-eligible dilemma. States test managed care, but critics question if approach is cost-effective. </w:t>
            </w:r>
            <w:r w:rsidRPr="00AB0E1C">
              <w:rPr>
                <w:rFonts w:ascii="Arial" w:hAnsi="Arial" w:cs="Arial"/>
                <w:i/>
                <w:iCs/>
              </w:rPr>
              <w:t xml:space="preserve">Mod </w:t>
            </w:r>
            <w:proofErr w:type="spellStart"/>
            <w:r w:rsidRPr="00AB0E1C">
              <w:rPr>
                <w:rFonts w:ascii="Arial" w:hAnsi="Arial" w:cs="Arial"/>
                <w:i/>
                <w:iCs/>
              </w:rPr>
              <w:t>Healthc</w:t>
            </w:r>
            <w:proofErr w:type="spellEnd"/>
            <w:r w:rsidRPr="00AB0E1C">
              <w:rPr>
                <w:rFonts w:ascii="Arial" w:hAnsi="Arial" w:cs="Arial"/>
              </w:rPr>
              <w:t>. 2013;43(16):14.</w:t>
            </w:r>
          </w:p>
          <w:p w14:paraId="5606575D" w14:textId="5D8B5382" w:rsidR="008B0AC5" w:rsidRPr="00AB0E1C" w:rsidRDefault="008B0AC5" w:rsidP="00DD78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B0E1C">
              <w:rPr>
                <w:rFonts w:ascii="Arial" w:hAnsi="Arial" w:cs="Arial"/>
              </w:rPr>
              <w:t xml:space="preserve">Grabowski DC, Joyce NR, McGuire TG, Frank RG. Passive Enrollment </w:t>
            </w:r>
            <w:proofErr w:type="gramStart"/>
            <w:r w:rsidRPr="00AB0E1C">
              <w:rPr>
                <w:rFonts w:ascii="Arial" w:hAnsi="Arial" w:cs="Arial"/>
              </w:rPr>
              <w:t>Of</w:t>
            </w:r>
            <w:proofErr w:type="gramEnd"/>
            <w:r w:rsidRPr="00AB0E1C">
              <w:rPr>
                <w:rFonts w:ascii="Arial" w:hAnsi="Arial" w:cs="Arial"/>
              </w:rPr>
              <w:t xml:space="preserve"> Dual-Eligible Beneficiaries Into Medicare And Medicaid Managed Care Has Not Met Expectations. </w:t>
            </w:r>
            <w:r w:rsidRPr="00AB0E1C">
              <w:rPr>
                <w:rFonts w:ascii="Arial" w:hAnsi="Arial" w:cs="Arial"/>
                <w:i/>
                <w:iCs/>
              </w:rPr>
              <w:t xml:space="preserve">Health </w:t>
            </w:r>
            <w:proofErr w:type="spellStart"/>
            <w:proofErr w:type="gramStart"/>
            <w:r w:rsidRPr="00AB0E1C">
              <w:rPr>
                <w:rFonts w:ascii="Arial" w:hAnsi="Arial" w:cs="Arial"/>
                <w:i/>
                <w:iCs/>
              </w:rPr>
              <w:t>Aff</w:t>
            </w:r>
            <w:proofErr w:type="spellEnd"/>
            <w:r w:rsidRPr="00AB0E1C">
              <w:rPr>
                <w:rFonts w:ascii="Arial" w:hAnsi="Arial" w:cs="Arial"/>
                <w:i/>
                <w:iCs/>
              </w:rPr>
              <w:t xml:space="preserve"> </w:t>
            </w:r>
            <w:r w:rsidRPr="00AB0E1C">
              <w:rPr>
                <w:rFonts w:ascii="Arial" w:hAnsi="Arial" w:cs="Arial"/>
              </w:rPr>
              <w:t>.</w:t>
            </w:r>
            <w:proofErr w:type="gramEnd"/>
            <w:r w:rsidRPr="00AB0E1C">
              <w:rPr>
                <w:rFonts w:ascii="Arial" w:hAnsi="Arial" w:cs="Arial"/>
              </w:rPr>
              <w:t xml:space="preserve"> 2017;36(5):846-854.</w:t>
            </w:r>
          </w:p>
          <w:p w14:paraId="4C527A47" w14:textId="7AB26229" w:rsidR="008B0AC5" w:rsidRPr="00AB0E1C" w:rsidRDefault="008B0AC5" w:rsidP="00DD78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 w:rsidRPr="00AB0E1C">
              <w:rPr>
                <w:rFonts w:ascii="Arial" w:hAnsi="Arial" w:cs="Arial"/>
              </w:rPr>
              <w:t>Libersky</w:t>
            </w:r>
            <w:proofErr w:type="spellEnd"/>
            <w:r w:rsidRPr="00AB0E1C">
              <w:rPr>
                <w:rFonts w:ascii="Arial" w:hAnsi="Arial" w:cs="Arial"/>
              </w:rPr>
              <w:t xml:space="preserve"> J, Hedley Dodd A, </w:t>
            </w:r>
            <w:proofErr w:type="spellStart"/>
            <w:r w:rsidRPr="00AB0E1C">
              <w:rPr>
                <w:rFonts w:ascii="Arial" w:hAnsi="Arial" w:cs="Arial"/>
              </w:rPr>
              <w:t>Verghese</w:t>
            </w:r>
            <w:proofErr w:type="spellEnd"/>
            <w:r w:rsidRPr="00AB0E1C">
              <w:rPr>
                <w:rFonts w:ascii="Arial" w:hAnsi="Arial" w:cs="Arial"/>
              </w:rPr>
              <w:t xml:space="preserve"> S. National and state trends in enrollment and spending for dual </w:t>
            </w:r>
            <w:proofErr w:type="spellStart"/>
            <w:r w:rsidRPr="00AB0E1C">
              <w:rPr>
                <w:rFonts w:ascii="Arial" w:hAnsi="Arial" w:cs="Arial"/>
              </w:rPr>
              <w:t>eligibles</w:t>
            </w:r>
            <w:proofErr w:type="spellEnd"/>
            <w:r w:rsidRPr="00AB0E1C">
              <w:rPr>
                <w:rFonts w:ascii="Arial" w:hAnsi="Arial" w:cs="Arial"/>
              </w:rPr>
              <w:t xml:space="preserve"> under age 65 in Medicaid managed care. </w:t>
            </w:r>
            <w:proofErr w:type="spellStart"/>
            <w:r w:rsidRPr="00AB0E1C">
              <w:rPr>
                <w:rFonts w:ascii="Arial" w:hAnsi="Arial" w:cs="Arial"/>
                <w:i/>
                <w:iCs/>
              </w:rPr>
              <w:t>Disabil</w:t>
            </w:r>
            <w:proofErr w:type="spellEnd"/>
            <w:r w:rsidRPr="00AB0E1C">
              <w:rPr>
                <w:rFonts w:ascii="Arial" w:hAnsi="Arial" w:cs="Arial"/>
                <w:i/>
                <w:iCs/>
              </w:rPr>
              <w:t xml:space="preserve"> Health J</w:t>
            </w:r>
            <w:r w:rsidRPr="00AB0E1C">
              <w:rPr>
                <w:rFonts w:ascii="Arial" w:hAnsi="Arial" w:cs="Arial"/>
              </w:rPr>
              <w:t>. 2013;6(2):87-94.</w:t>
            </w:r>
          </w:p>
          <w:p w14:paraId="1329DA6D" w14:textId="2337DBE3" w:rsidR="008B0AC5" w:rsidRPr="00AB0E1C" w:rsidRDefault="008B0AC5" w:rsidP="00DD78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B0E1C">
              <w:rPr>
                <w:rFonts w:ascii="Arial" w:hAnsi="Arial" w:cs="Arial"/>
              </w:rPr>
              <w:t xml:space="preserve">Zhang Y, Diana ML. Effects of Early Dual-Eligible Special Needs Plans on Health Expenditure. </w:t>
            </w:r>
            <w:r w:rsidRPr="00AB0E1C">
              <w:rPr>
                <w:rFonts w:ascii="Arial" w:hAnsi="Arial" w:cs="Arial"/>
                <w:i/>
                <w:iCs/>
              </w:rPr>
              <w:t>Health Serv Res</w:t>
            </w:r>
            <w:r w:rsidRPr="00AB0E1C">
              <w:rPr>
                <w:rFonts w:ascii="Arial" w:hAnsi="Arial" w:cs="Arial"/>
              </w:rPr>
              <w:t>. October 2017. doi:10.1111/1475-6773.12778</w:t>
            </w:r>
          </w:p>
          <w:p w14:paraId="47AD38E6" w14:textId="33EE6258" w:rsidR="008B0AC5" w:rsidRPr="00AB0E1C" w:rsidRDefault="008B0AC5" w:rsidP="00DD78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 w:rsidRPr="00AB0E1C">
              <w:rPr>
                <w:rFonts w:ascii="Arial" w:hAnsi="Arial" w:cs="Arial"/>
              </w:rPr>
              <w:t>Eggbeer</w:t>
            </w:r>
            <w:proofErr w:type="spellEnd"/>
            <w:r w:rsidRPr="00AB0E1C">
              <w:rPr>
                <w:rFonts w:ascii="Arial" w:hAnsi="Arial" w:cs="Arial"/>
              </w:rPr>
              <w:t xml:space="preserve"> B, Bowers K, Morris D. Dual-eligible reform: a step toward population health management. </w:t>
            </w:r>
            <w:proofErr w:type="spellStart"/>
            <w:r w:rsidRPr="00AB0E1C">
              <w:rPr>
                <w:rFonts w:ascii="Arial" w:hAnsi="Arial" w:cs="Arial"/>
                <w:i/>
                <w:iCs/>
              </w:rPr>
              <w:t>Healthc</w:t>
            </w:r>
            <w:proofErr w:type="spellEnd"/>
            <w:r w:rsidRPr="00AB0E1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B0E1C">
              <w:rPr>
                <w:rFonts w:ascii="Arial" w:hAnsi="Arial" w:cs="Arial"/>
                <w:i/>
                <w:iCs/>
              </w:rPr>
              <w:t>Financ</w:t>
            </w:r>
            <w:proofErr w:type="spellEnd"/>
            <w:r w:rsidRPr="00AB0E1C">
              <w:rPr>
                <w:rFonts w:ascii="Arial" w:hAnsi="Arial" w:cs="Arial"/>
                <w:i/>
                <w:iCs/>
              </w:rPr>
              <w:t xml:space="preserve"> Manage</w:t>
            </w:r>
            <w:r w:rsidRPr="00AB0E1C">
              <w:rPr>
                <w:rFonts w:ascii="Arial" w:hAnsi="Arial" w:cs="Arial"/>
              </w:rPr>
              <w:t>. 2013;67(4):90-94, 96.</w:t>
            </w:r>
          </w:p>
          <w:p w14:paraId="5B6CBD53" w14:textId="7233FC8A" w:rsidR="008B0AC5" w:rsidRPr="00AB0E1C" w:rsidRDefault="008B0AC5" w:rsidP="00DD78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B0E1C">
              <w:rPr>
                <w:rFonts w:ascii="Arial" w:hAnsi="Arial" w:cs="Arial"/>
              </w:rPr>
              <w:t xml:space="preserve">Gold MR, Jacobson GA, Garfield RL. There is little experience and limited data to support policy making on integrated care for dual </w:t>
            </w:r>
            <w:proofErr w:type="spellStart"/>
            <w:r w:rsidRPr="00AB0E1C">
              <w:rPr>
                <w:rFonts w:ascii="Arial" w:hAnsi="Arial" w:cs="Arial"/>
              </w:rPr>
              <w:t>eligibles</w:t>
            </w:r>
            <w:proofErr w:type="spellEnd"/>
            <w:r w:rsidRPr="00AB0E1C">
              <w:rPr>
                <w:rFonts w:ascii="Arial" w:hAnsi="Arial" w:cs="Arial"/>
              </w:rPr>
              <w:t xml:space="preserve">. </w:t>
            </w:r>
            <w:r w:rsidRPr="00AB0E1C">
              <w:rPr>
                <w:rFonts w:ascii="Arial" w:hAnsi="Arial" w:cs="Arial"/>
                <w:i/>
                <w:iCs/>
              </w:rPr>
              <w:t xml:space="preserve">Health </w:t>
            </w:r>
            <w:proofErr w:type="spellStart"/>
            <w:proofErr w:type="gramStart"/>
            <w:r w:rsidRPr="00AB0E1C">
              <w:rPr>
                <w:rFonts w:ascii="Arial" w:hAnsi="Arial" w:cs="Arial"/>
                <w:i/>
                <w:iCs/>
              </w:rPr>
              <w:t>Aff</w:t>
            </w:r>
            <w:proofErr w:type="spellEnd"/>
            <w:r w:rsidRPr="00AB0E1C">
              <w:rPr>
                <w:rFonts w:ascii="Arial" w:hAnsi="Arial" w:cs="Arial"/>
                <w:i/>
                <w:iCs/>
              </w:rPr>
              <w:t xml:space="preserve"> </w:t>
            </w:r>
            <w:r w:rsidRPr="00AB0E1C">
              <w:rPr>
                <w:rFonts w:ascii="Arial" w:hAnsi="Arial" w:cs="Arial"/>
              </w:rPr>
              <w:t>.</w:t>
            </w:r>
            <w:proofErr w:type="gramEnd"/>
            <w:r w:rsidRPr="00AB0E1C">
              <w:rPr>
                <w:rFonts w:ascii="Arial" w:hAnsi="Arial" w:cs="Arial"/>
              </w:rPr>
              <w:t xml:space="preserve"> 2012;31(6):1176-1185.</w:t>
            </w:r>
          </w:p>
          <w:p w14:paraId="56443683" w14:textId="2118DBF9" w:rsidR="008B0AC5" w:rsidRPr="00DD7864" w:rsidRDefault="008B0AC5" w:rsidP="00DD78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"/>
              </w:rPr>
            </w:pPr>
            <w:r w:rsidRPr="00DD7864">
              <w:rPr>
                <w:rFonts w:ascii="Arial" w:hAnsi="Arial" w:cs="Arial"/>
              </w:rPr>
              <w:t xml:space="preserve">Graham CL, Liu P-J, Hollister BA, Kaye HS, Harrington C. Beneficiaries Respond </w:t>
            </w:r>
            <w:proofErr w:type="gramStart"/>
            <w:r w:rsidRPr="00DD7864">
              <w:rPr>
                <w:rFonts w:ascii="Arial" w:hAnsi="Arial" w:cs="Arial"/>
              </w:rPr>
              <w:t>To</w:t>
            </w:r>
            <w:proofErr w:type="gramEnd"/>
            <w:r w:rsidRPr="00DD7864">
              <w:rPr>
                <w:rFonts w:ascii="Arial" w:hAnsi="Arial" w:cs="Arial"/>
              </w:rPr>
              <w:t xml:space="preserve"> California’s Program To Integrate Medicare, Medicaid, And Long-Term Services. </w:t>
            </w:r>
            <w:r w:rsidRPr="00DD7864">
              <w:rPr>
                <w:rFonts w:ascii="Arial" w:hAnsi="Arial" w:cs="Arial"/>
                <w:i/>
                <w:iCs/>
              </w:rPr>
              <w:t xml:space="preserve">Health </w:t>
            </w:r>
            <w:proofErr w:type="spellStart"/>
            <w:r w:rsidRPr="00DD7864">
              <w:rPr>
                <w:rFonts w:ascii="Arial" w:hAnsi="Arial" w:cs="Arial"/>
                <w:i/>
                <w:iCs/>
              </w:rPr>
              <w:t>Aff</w:t>
            </w:r>
            <w:proofErr w:type="spellEnd"/>
            <w:r w:rsidRPr="00DD7864">
              <w:rPr>
                <w:rFonts w:ascii="Arial" w:hAnsi="Arial" w:cs="Arial"/>
              </w:rPr>
              <w:t>. 2018;37(9):1432-1441.</w:t>
            </w:r>
            <w:r w:rsidRPr="00DD7864">
              <w:rPr>
                <w:rFonts w:ascii="Arial" w:hAnsi="Arial" w:cs="Arial"/>
                <w:lang w:val="en"/>
              </w:rPr>
              <w:t xml:space="preserve"> </w:t>
            </w:r>
          </w:p>
          <w:p w14:paraId="503B9CDC" w14:textId="6A5B93DB" w:rsidR="008B0AC5" w:rsidRPr="008B0AC5" w:rsidRDefault="008B0AC5" w:rsidP="00DD78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 w:rsidRPr="00DD7864">
              <w:rPr>
                <w:rFonts w:ascii="Arial" w:hAnsi="Arial" w:cs="Arial"/>
              </w:rPr>
              <w:t>MedPAC</w:t>
            </w:r>
            <w:proofErr w:type="spellEnd"/>
            <w:r w:rsidRPr="00DD7864">
              <w:rPr>
                <w:rFonts w:ascii="Arial" w:hAnsi="Arial" w:cs="Arial"/>
              </w:rPr>
              <w:t>. The June 2018 Report to Congress: Medicare and the Health Care Delivery System. Chapter 9. Managed</w:t>
            </w:r>
          </w:p>
          <w:p w14:paraId="722DE921" w14:textId="53082005" w:rsidR="00B86CF1" w:rsidRPr="008A7C90" w:rsidRDefault="00B86CF1" w:rsidP="00DD7864">
            <w:pPr>
              <w:pStyle w:val="ListParagraph"/>
              <w:spacing w:after="200" w:line="276" w:lineRule="auto"/>
              <w:ind w:left="360"/>
            </w:pPr>
          </w:p>
        </w:tc>
      </w:tr>
    </w:tbl>
    <w:bookmarkEnd w:id="1"/>
    <w:p w14:paraId="38569F03" w14:textId="77777777" w:rsidR="00EE4FC2" w:rsidRDefault="00EE4FC2" w:rsidP="00EE4FC2">
      <w:pPr>
        <w:spacing w:after="0"/>
      </w:pPr>
      <w:r>
        <w:lastRenderedPageBreak/>
        <w:t>Author 1, degree, Author 2, degree, …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EE4FC2" w:rsidRPr="008A7C90" w14:paraId="2038B5B5" w14:textId="77777777" w:rsidTr="00365124">
        <w:trPr>
          <w:trHeight w:val="816"/>
        </w:trPr>
        <w:tc>
          <w:tcPr>
            <w:tcW w:w="1975" w:type="dxa"/>
          </w:tcPr>
          <w:p w14:paraId="6E1F0B35" w14:textId="77777777" w:rsidR="00EE4FC2" w:rsidRPr="008A7C90" w:rsidRDefault="00EE4FC2" w:rsidP="00365124">
            <w:pPr>
              <w:spacing w:line="259" w:lineRule="auto"/>
            </w:pPr>
            <w:r w:rsidRPr="008A7C90">
              <w:lastRenderedPageBreak/>
              <w:t>Challenge</w:t>
            </w:r>
          </w:p>
        </w:tc>
        <w:tc>
          <w:tcPr>
            <w:tcW w:w="8730" w:type="dxa"/>
          </w:tcPr>
          <w:p w14:paraId="37FDD748" w14:textId="77777777" w:rsidR="00EE4FC2" w:rsidRPr="0031051B" w:rsidRDefault="00EE4FC2" w:rsidP="00365124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BOLD text</w:t>
            </w:r>
            <w:r w:rsidRPr="0031051B">
              <w:rPr>
                <w:b/>
                <w:bCs/>
              </w:rPr>
              <w:t xml:space="preserve">  </w:t>
            </w:r>
          </w:p>
        </w:tc>
      </w:tr>
      <w:tr w:rsidR="00EE4FC2" w:rsidRPr="008A7C90" w14:paraId="13B65571" w14:textId="77777777" w:rsidTr="00365124">
        <w:trPr>
          <w:trHeight w:val="1091"/>
        </w:trPr>
        <w:tc>
          <w:tcPr>
            <w:tcW w:w="1975" w:type="dxa"/>
          </w:tcPr>
          <w:p w14:paraId="3A9F9E58" w14:textId="77777777" w:rsidR="00EE4FC2" w:rsidRPr="008A7C90" w:rsidRDefault="00EE4FC2" w:rsidP="00365124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188A7BA6" w14:textId="77777777" w:rsidR="00EE4FC2" w:rsidRPr="008A7C90" w:rsidRDefault="00EE4FC2" w:rsidP="00365124">
            <w:pPr>
              <w:spacing w:line="259" w:lineRule="auto"/>
            </w:pPr>
            <w:r>
              <w:t>Normal text</w:t>
            </w:r>
            <w:r w:rsidRPr="008A7C90">
              <w:t xml:space="preserve"> </w:t>
            </w:r>
          </w:p>
        </w:tc>
      </w:tr>
      <w:tr w:rsidR="00EE4FC2" w:rsidRPr="008A7C90" w14:paraId="3CFACBFF" w14:textId="77777777" w:rsidTr="00365124">
        <w:trPr>
          <w:trHeight w:val="262"/>
        </w:trPr>
        <w:tc>
          <w:tcPr>
            <w:tcW w:w="1975" w:type="dxa"/>
          </w:tcPr>
          <w:p w14:paraId="54F88420" w14:textId="77777777" w:rsidR="00EE4FC2" w:rsidRPr="008A7C90" w:rsidRDefault="00EE4FC2" w:rsidP="00365124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5CF1A2AE" w14:textId="77777777" w:rsidR="00EE4FC2" w:rsidRPr="008A7C90" w:rsidRDefault="00EE4FC2" w:rsidP="00365124">
            <w:pPr>
              <w:spacing w:line="259" w:lineRule="auto"/>
            </w:pPr>
            <w:r>
              <w:t>Normal text</w:t>
            </w:r>
          </w:p>
        </w:tc>
      </w:tr>
      <w:tr w:rsidR="00EE4FC2" w:rsidRPr="008A7C90" w14:paraId="77F8F44F" w14:textId="77777777" w:rsidTr="00365124">
        <w:trPr>
          <w:trHeight w:val="276"/>
        </w:trPr>
        <w:tc>
          <w:tcPr>
            <w:tcW w:w="1975" w:type="dxa"/>
          </w:tcPr>
          <w:p w14:paraId="7C70C6DB" w14:textId="77777777" w:rsidR="00EE4FC2" w:rsidRPr="008A7C90" w:rsidRDefault="00EE4FC2" w:rsidP="00365124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0D89BBDE" w14:textId="77777777" w:rsidR="00EE4FC2" w:rsidRPr="008A7C90" w:rsidRDefault="00EE4FC2" w:rsidP="00365124">
            <w:pPr>
              <w:spacing w:line="259" w:lineRule="auto"/>
            </w:pPr>
            <w:r>
              <w:t>Normal text</w:t>
            </w:r>
            <w:r w:rsidRPr="008A7C90">
              <w:t xml:space="preserve"> </w:t>
            </w:r>
          </w:p>
        </w:tc>
      </w:tr>
      <w:tr w:rsidR="00EE4FC2" w:rsidRPr="008A7C90" w14:paraId="6677A2A7" w14:textId="77777777" w:rsidTr="00365124">
        <w:trPr>
          <w:trHeight w:val="2282"/>
        </w:trPr>
        <w:tc>
          <w:tcPr>
            <w:tcW w:w="1975" w:type="dxa"/>
          </w:tcPr>
          <w:p w14:paraId="24C1718A" w14:textId="77777777" w:rsidR="00EE4FC2" w:rsidRPr="00EF635D" w:rsidRDefault="00EE4FC2" w:rsidP="00365124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2C2D71E8" w14:textId="77777777" w:rsidR="00EE4FC2" w:rsidRPr="008A7C90" w:rsidRDefault="00EE4FC2" w:rsidP="00365124">
            <w:pPr>
              <w:spacing w:line="259" w:lineRule="auto"/>
            </w:pPr>
            <w:r>
              <w:rPr>
                <w:b/>
                <w:bCs/>
              </w:rPr>
              <w:t xml:space="preserve">BOLD summary sentence.  </w:t>
            </w:r>
            <w:r>
              <w:rPr>
                <w:bCs/>
              </w:rPr>
              <w:t xml:space="preserve">Normal text supporting sentence(s), as needed. </w:t>
            </w:r>
            <w:r w:rsidRPr="008A7C90">
              <w:t xml:space="preserve"> </w:t>
            </w:r>
          </w:p>
        </w:tc>
      </w:tr>
      <w:tr w:rsidR="00EE4FC2" w:rsidRPr="008A7C90" w14:paraId="5E11644B" w14:textId="77777777" w:rsidTr="00365124">
        <w:trPr>
          <w:trHeight w:val="816"/>
        </w:trPr>
        <w:tc>
          <w:tcPr>
            <w:tcW w:w="1975" w:type="dxa"/>
          </w:tcPr>
          <w:p w14:paraId="16A7C48D" w14:textId="77777777" w:rsidR="00EE4FC2" w:rsidRPr="00EF635D" w:rsidRDefault="00EE4FC2" w:rsidP="00365124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3D2C0D92" w14:textId="77777777" w:rsidR="00EE4FC2" w:rsidRPr="00EF635D" w:rsidRDefault="00EE4FC2" w:rsidP="00365124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BOLD text</w:t>
            </w:r>
          </w:p>
        </w:tc>
      </w:tr>
      <w:tr w:rsidR="00EE4FC2" w:rsidRPr="008A7C90" w14:paraId="2F7E1CD2" w14:textId="77777777" w:rsidTr="00365124">
        <w:trPr>
          <w:trHeight w:val="816"/>
        </w:trPr>
        <w:tc>
          <w:tcPr>
            <w:tcW w:w="1975" w:type="dxa"/>
          </w:tcPr>
          <w:p w14:paraId="5C416B4F" w14:textId="77777777" w:rsidR="00EE4FC2" w:rsidRPr="00EB0401" w:rsidRDefault="00EE4FC2" w:rsidP="00365124">
            <w:r w:rsidRPr="00EB0401">
              <w:t>Additional Recommendations</w:t>
            </w:r>
          </w:p>
        </w:tc>
        <w:tc>
          <w:tcPr>
            <w:tcW w:w="8730" w:type="dxa"/>
          </w:tcPr>
          <w:p w14:paraId="54BE9C46" w14:textId="77777777" w:rsidR="00EE4FC2" w:rsidRPr="00EB0401" w:rsidRDefault="00EE4FC2" w:rsidP="00365124">
            <w:r>
              <w:t>Normal text</w:t>
            </w:r>
          </w:p>
        </w:tc>
      </w:tr>
      <w:tr w:rsidR="00EE4FC2" w:rsidRPr="008A7C90" w14:paraId="08B70918" w14:textId="77777777" w:rsidTr="00365124">
        <w:trPr>
          <w:trHeight w:val="552"/>
        </w:trPr>
        <w:tc>
          <w:tcPr>
            <w:tcW w:w="1975" w:type="dxa"/>
          </w:tcPr>
          <w:p w14:paraId="142473A4" w14:textId="77777777" w:rsidR="00EE4FC2" w:rsidRPr="008A7C90" w:rsidRDefault="00EE4FC2" w:rsidP="00365124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55751BC4" w14:textId="77777777" w:rsidR="00EE4FC2" w:rsidRPr="008A7C90" w:rsidRDefault="00EE4FC2" w:rsidP="00365124">
            <w:pPr>
              <w:spacing w:line="259" w:lineRule="auto"/>
            </w:pPr>
            <w:r>
              <w:t>Normal text</w:t>
            </w:r>
          </w:p>
        </w:tc>
      </w:tr>
      <w:tr w:rsidR="00EE4FC2" w:rsidRPr="008A7C90" w14:paraId="53465EBA" w14:textId="77777777" w:rsidTr="00365124">
        <w:trPr>
          <w:trHeight w:val="552"/>
        </w:trPr>
        <w:tc>
          <w:tcPr>
            <w:tcW w:w="1975" w:type="dxa"/>
          </w:tcPr>
          <w:p w14:paraId="70E49DDB" w14:textId="77777777" w:rsidR="00EE4FC2" w:rsidRPr="008A7C90" w:rsidRDefault="00EE4FC2" w:rsidP="00365124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0D88C6FC" w14:textId="77777777" w:rsidR="00EE4FC2" w:rsidRPr="008A7C90" w:rsidRDefault="00EE4FC2" w:rsidP="00365124">
            <w:pPr>
              <w:spacing w:line="259" w:lineRule="auto"/>
            </w:pPr>
            <w:r>
              <w:t>Normal text</w:t>
            </w:r>
          </w:p>
        </w:tc>
      </w:tr>
      <w:tr w:rsidR="00EE4FC2" w:rsidRPr="008A7C90" w14:paraId="766B8799" w14:textId="77777777" w:rsidTr="00365124">
        <w:trPr>
          <w:trHeight w:val="538"/>
        </w:trPr>
        <w:tc>
          <w:tcPr>
            <w:tcW w:w="1975" w:type="dxa"/>
          </w:tcPr>
          <w:p w14:paraId="4DACF3B7" w14:textId="77777777" w:rsidR="00EE4FC2" w:rsidRPr="008A7C90" w:rsidRDefault="00EE4FC2" w:rsidP="00365124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</w:tcPr>
          <w:p w14:paraId="7F0E8DC4" w14:textId="77777777" w:rsidR="00EE4FC2" w:rsidRDefault="00EE4FC2" w:rsidP="00365124">
            <w:pPr>
              <w:spacing w:line="259" w:lineRule="auto"/>
            </w:pPr>
            <w:r>
              <w:rPr>
                <w:noProof/>
              </w:rPr>
              <w:t>Figure, table, graphical abstract</w:t>
            </w:r>
          </w:p>
          <w:p w14:paraId="6C6193AF" w14:textId="77777777" w:rsidR="00EE4FC2" w:rsidRPr="008A7C90" w:rsidRDefault="00EE4FC2" w:rsidP="00365124">
            <w:pPr>
              <w:spacing w:line="259" w:lineRule="auto"/>
            </w:pPr>
            <w:proofErr w:type="spellStart"/>
            <w:r w:rsidRPr="008A7C90">
              <w:t>doi</w:t>
            </w:r>
            <w:proofErr w:type="spellEnd"/>
            <w:r w:rsidRPr="008A7C90">
              <w:t xml:space="preserve">: </w:t>
            </w:r>
          </w:p>
        </w:tc>
      </w:tr>
      <w:tr w:rsidR="00EE4FC2" w:rsidRPr="008A7C90" w14:paraId="7EBAB045" w14:textId="77777777" w:rsidTr="00365124">
        <w:trPr>
          <w:trHeight w:val="538"/>
        </w:trPr>
        <w:tc>
          <w:tcPr>
            <w:tcW w:w="1975" w:type="dxa"/>
          </w:tcPr>
          <w:p w14:paraId="163DEF7F" w14:textId="77777777" w:rsidR="00EE4FC2" w:rsidRPr="00871F97" w:rsidRDefault="00EE4FC2" w:rsidP="00365124">
            <w:pPr>
              <w:rPr>
                <w:color w:val="4472C4" w:themeColor="accent1"/>
              </w:rPr>
            </w:pPr>
            <w:r w:rsidRPr="00871F97">
              <w:rPr>
                <w:color w:val="4472C4" w:themeColor="accent1"/>
              </w:rPr>
              <w:t>In carrying out this project, what problems or barriers did you encounter? (50 words or less)</w:t>
            </w:r>
          </w:p>
          <w:p w14:paraId="611998CD" w14:textId="77777777" w:rsidR="00EE4FC2" w:rsidRPr="008A7C90" w:rsidRDefault="00EE4FC2" w:rsidP="00365124"/>
        </w:tc>
        <w:tc>
          <w:tcPr>
            <w:tcW w:w="8730" w:type="dxa"/>
          </w:tcPr>
          <w:p w14:paraId="2E07DD1F" w14:textId="77777777" w:rsidR="00EE4FC2" w:rsidRDefault="00EE4FC2" w:rsidP="00365124">
            <w:pPr>
              <w:rPr>
                <w:noProof/>
              </w:rPr>
            </w:pPr>
          </w:p>
        </w:tc>
      </w:tr>
      <w:tr w:rsidR="00EE4FC2" w:rsidRPr="008A7C90" w14:paraId="01C89A96" w14:textId="77777777" w:rsidTr="00365124">
        <w:trPr>
          <w:trHeight w:val="538"/>
        </w:trPr>
        <w:tc>
          <w:tcPr>
            <w:tcW w:w="1975" w:type="dxa"/>
          </w:tcPr>
          <w:p w14:paraId="5B09483E" w14:textId="77777777" w:rsidR="00EE4FC2" w:rsidRPr="00871F97" w:rsidRDefault="00EE4FC2" w:rsidP="00365124">
            <w:pPr>
              <w:rPr>
                <w:color w:val="4472C4" w:themeColor="accent1"/>
              </w:rPr>
            </w:pPr>
            <w:r w:rsidRPr="00871F97">
              <w:rPr>
                <w:color w:val="4472C4" w:themeColor="accent1"/>
              </w:rPr>
              <w:t>In your experience with this project, what was the most positive or constructive aspect? (50 words or less)</w:t>
            </w:r>
          </w:p>
          <w:p w14:paraId="0E25520F" w14:textId="77777777" w:rsidR="00EE4FC2" w:rsidRPr="00871F97" w:rsidRDefault="00EE4FC2" w:rsidP="00365124">
            <w:pPr>
              <w:rPr>
                <w:color w:val="4472C4" w:themeColor="accent1"/>
              </w:rPr>
            </w:pPr>
          </w:p>
        </w:tc>
        <w:tc>
          <w:tcPr>
            <w:tcW w:w="8730" w:type="dxa"/>
          </w:tcPr>
          <w:p w14:paraId="48C9D3A1" w14:textId="77777777" w:rsidR="00EE4FC2" w:rsidRDefault="00EE4FC2" w:rsidP="00365124">
            <w:pPr>
              <w:rPr>
                <w:noProof/>
              </w:rPr>
            </w:pPr>
          </w:p>
        </w:tc>
      </w:tr>
      <w:tr w:rsidR="00EE4FC2" w:rsidRPr="008A7C90" w14:paraId="3D46748D" w14:textId="77777777" w:rsidTr="00365124">
        <w:trPr>
          <w:trHeight w:val="538"/>
        </w:trPr>
        <w:tc>
          <w:tcPr>
            <w:tcW w:w="1975" w:type="dxa"/>
          </w:tcPr>
          <w:p w14:paraId="07DF30D5" w14:textId="77777777" w:rsidR="00EE4FC2" w:rsidRPr="00871F97" w:rsidRDefault="00EE4FC2" w:rsidP="00365124">
            <w:pPr>
              <w:rPr>
                <w:color w:val="4472C4" w:themeColor="accent1"/>
              </w:rPr>
            </w:pPr>
            <w:r w:rsidRPr="00871F97">
              <w:rPr>
                <w:color w:val="4472C4" w:themeColor="accent1"/>
              </w:rPr>
              <w:t xml:space="preserve">Dissemination -- did your project lead to a </w:t>
            </w:r>
            <w:r w:rsidRPr="00871F97">
              <w:rPr>
                <w:color w:val="4472C4" w:themeColor="accent1"/>
              </w:rPr>
              <w:lastRenderedPageBreak/>
              <w:t xml:space="preserve">presentation, report or publication? </w:t>
            </w:r>
          </w:p>
          <w:p w14:paraId="186101AC" w14:textId="77777777" w:rsidR="00EE4FC2" w:rsidRPr="00871F97" w:rsidRDefault="00EE4FC2" w:rsidP="00365124">
            <w:pPr>
              <w:ind w:firstLine="720"/>
              <w:rPr>
                <w:color w:val="4472C4" w:themeColor="accent1"/>
              </w:rPr>
            </w:pPr>
          </w:p>
        </w:tc>
        <w:tc>
          <w:tcPr>
            <w:tcW w:w="8730" w:type="dxa"/>
          </w:tcPr>
          <w:p w14:paraId="5C89E6FC" w14:textId="77777777" w:rsidR="00EE4FC2" w:rsidRPr="00196AE4" w:rsidRDefault="00EE4FC2" w:rsidP="00365124">
            <w:pPr>
              <w:ind w:firstLine="76"/>
              <w:rPr>
                <w:color w:val="4472C4" w:themeColor="accent1"/>
              </w:rPr>
            </w:pPr>
            <w:sdt>
              <w:sdtPr>
                <w:rPr>
                  <w:rFonts w:ascii="MS Gothic" w:eastAsia="MS Gothic" w:hAnsi="MS Gothic"/>
                  <w:color w:val="4472C4" w:themeColor="accent1"/>
                </w:rPr>
                <w:id w:val="58765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00196AE4">
              <w:rPr>
                <w:color w:val="4472C4" w:themeColor="accent1"/>
              </w:rPr>
              <w:t xml:space="preserve"> No, please describe barriers, if any.</w:t>
            </w:r>
          </w:p>
          <w:p w14:paraId="316F3564" w14:textId="77777777" w:rsidR="00EE4FC2" w:rsidRPr="00196AE4" w:rsidRDefault="00EE4FC2" w:rsidP="00365124">
            <w:pPr>
              <w:ind w:firstLine="76"/>
              <w:rPr>
                <w:color w:val="4472C4" w:themeColor="accent1"/>
              </w:rPr>
            </w:pPr>
          </w:p>
          <w:p w14:paraId="1260056A" w14:textId="77777777" w:rsidR="00EE4FC2" w:rsidRPr="00196AE4" w:rsidRDefault="00EE4FC2" w:rsidP="00365124">
            <w:pPr>
              <w:ind w:firstLine="76"/>
              <w:rPr>
                <w:color w:val="4472C4" w:themeColor="accent1"/>
              </w:rPr>
            </w:pPr>
            <w:sdt>
              <w:sdtPr>
                <w:rPr>
                  <w:rFonts w:ascii="MS Gothic" w:eastAsia="MS Gothic" w:hAnsi="MS Gothic"/>
                  <w:color w:val="4472C4" w:themeColor="accent1"/>
                </w:rPr>
                <w:id w:val="171746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6AE4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00196AE4">
              <w:rPr>
                <w:color w:val="4472C4" w:themeColor="accent1"/>
              </w:rPr>
              <w:t xml:space="preserve"> Yes, please list.</w:t>
            </w:r>
          </w:p>
          <w:p w14:paraId="08BC5CF2" w14:textId="77777777" w:rsidR="00EE4FC2" w:rsidRDefault="00EE4FC2" w:rsidP="00365124">
            <w:pPr>
              <w:rPr>
                <w:noProof/>
              </w:rPr>
            </w:pPr>
          </w:p>
        </w:tc>
      </w:tr>
      <w:tr w:rsidR="00EE4FC2" w:rsidRPr="008A7C90" w14:paraId="500EF5C2" w14:textId="77777777" w:rsidTr="00365124">
        <w:trPr>
          <w:trHeight w:val="538"/>
        </w:trPr>
        <w:tc>
          <w:tcPr>
            <w:tcW w:w="1975" w:type="dxa"/>
          </w:tcPr>
          <w:p w14:paraId="52F20762" w14:textId="77777777" w:rsidR="00EE4FC2" w:rsidRPr="00871F97" w:rsidRDefault="00EE4FC2" w:rsidP="00365124">
            <w:pPr>
              <w:rPr>
                <w:color w:val="4472C4" w:themeColor="accent1"/>
              </w:rPr>
            </w:pPr>
            <w:r w:rsidRPr="00871F97">
              <w:rPr>
                <w:color w:val="4472C4" w:themeColor="accent1"/>
              </w:rPr>
              <w:lastRenderedPageBreak/>
              <w:t xml:space="preserve">Did you or others learn something else from your project?  </w:t>
            </w:r>
          </w:p>
          <w:p w14:paraId="2A12235A" w14:textId="77777777" w:rsidR="00EE4FC2" w:rsidRPr="00871F97" w:rsidRDefault="00EE4FC2" w:rsidP="00365124">
            <w:pPr>
              <w:ind w:left="720"/>
              <w:rPr>
                <w:color w:val="4472C4" w:themeColor="accent1"/>
              </w:rPr>
            </w:pPr>
          </w:p>
        </w:tc>
        <w:tc>
          <w:tcPr>
            <w:tcW w:w="8730" w:type="dxa"/>
          </w:tcPr>
          <w:p w14:paraId="14E30AFD" w14:textId="77777777" w:rsidR="00EE4FC2" w:rsidRPr="00196AE4" w:rsidRDefault="00EE4FC2" w:rsidP="00365124">
            <w:pPr>
              <w:ind w:left="720" w:hanging="644"/>
              <w:rPr>
                <w:color w:val="4472C4" w:themeColor="accent1"/>
              </w:rPr>
            </w:pPr>
            <w:sdt>
              <w:sdtPr>
                <w:rPr>
                  <w:rFonts w:ascii="MS Gothic" w:eastAsia="MS Gothic" w:hAnsi="MS Gothic"/>
                  <w:color w:val="4472C4" w:themeColor="accent1"/>
                </w:rPr>
                <w:id w:val="94180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6AE4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00196AE4">
              <w:rPr>
                <w:color w:val="4472C4" w:themeColor="accent1"/>
              </w:rPr>
              <w:t xml:space="preserve"> Formed a new relationship </w:t>
            </w:r>
          </w:p>
          <w:p w14:paraId="652956D6" w14:textId="77777777" w:rsidR="00EE4FC2" w:rsidRPr="00196AE4" w:rsidRDefault="00EE4FC2" w:rsidP="00365124">
            <w:pPr>
              <w:ind w:left="720" w:hanging="644"/>
              <w:rPr>
                <w:color w:val="4472C4" w:themeColor="accent1"/>
              </w:rPr>
            </w:pPr>
            <w:sdt>
              <w:sdtPr>
                <w:rPr>
                  <w:rFonts w:ascii="MS Gothic" w:eastAsia="MS Gothic" w:hAnsi="MS Gothic"/>
                  <w:color w:val="4472C4" w:themeColor="accent1"/>
                </w:rPr>
                <w:id w:val="-189456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6AE4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00196AE4">
              <w:rPr>
                <w:color w:val="4472C4" w:themeColor="accent1"/>
              </w:rPr>
              <w:t xml:space="preserve"> Learned that the right data aren’t currently available </w:t>
            </w:r>
          </w:p>
          <w:p w14:paraId="7DF54227" w14:textId="77777777" w:rsidR="00EE4FC2" w:rsidRPr="00196AE4" w:rsidRDefault="00EE4FC2" w:rsidP="00365124">
            <w:pPr>
              <w:ind w:left="720" w:hanging="644"/>
              <w:rPr>
                <w:color w:val="4472C4" w:themeColor="accent1"/>
              </w:rPr>
            </w:pPr>
            <w:sdt>
              <w:sdtPr>
                <w:rPr>
                  <w:rFonts w:ascii="MS Gothic" w:eastAsia="MS Gothic" w:hAnsi="MS Gothic"/>
                  <w:color w:val="4472C4" w:themeColor="accent1"/>
                </w:rPr>
                <w:id w:val="147935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6AE4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00196AE4">
              <w:rPr>
                <w:color w:val="4472C4" w:themeColor="accent1"/>
              </w:rPr>
              <w:t xml:space="preserve"> Identified unanticipated barriers to improving clinical practice </w:t>
            </w:r>
          </w:p>
          <w:p w14:paraId="44F7E062" w14:textId="77777777" w:rsidR="00EE4FC2" w:rsidRPr="00196AE4" w:rsidRDefault="00EE4FC2" w:rsidP="00365124">
            <w:pPr>
              <w:ind w:left="720" w:hanging="644"/>
              <w:rPr>
                <w:color w:val="4472C4" w:themeColor="accent1"/>
              </w:rPr>
            </w:pPr>
            <w:sdt>
              <w:sdtPr>
                <w:rPr>
                  <w:rFonts w:ascii="MS Gothic" w:eastAsia="MS Gothic" w:hAnsi="MS Gothic"/>
                  <w:color w:val="4472C4" w:themeColor="accent1"/>
                </w:rPr>
                <w:id w:val="589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6AE4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00196AE4">
              <w:rPr>
                <w:color w:val="4472C4" w:themeColor="accent1"/>
              </w:rPr>
              <w:t xml:space="preserve"> Other learnings</w:t>
            </w:r>
          </w:p>
          <w:p w14:paraId="7467E026" w14:textId="77777777" w:rsidR="00EE4FC2" w:rsidRDefault="00EE4FC2" w:rsidP="00365124">
            <w:pPr>
              <w:ind w:firstLine="76"/>
              <w:rPr>
                <w:rFonts w:ascii="MS Gothic" w:eastAsia="MS Gothic" w:hAnsi="MS Gothic"/>
                <w:color w:val="4472C4" w:themeColor="accent1"/>
              </w:rPr>
            </w:pPr>
          </w:p>
        </w:tc>
      </w:tr>
    </w:tbl>
    <w:p w14:paraId="68F6F94D" w14:textId="77777777" w:rsidR="00EE4FC2" w:rsidRDefault="00EE4FC2" w:rsidP="00EE4FC2">
      <w:pPr>
        <w:spacing w:after="0"/>
      </w:pPr>
    </w:p>
    <w:p w14:paraId="62800767" w14:textId="77777777" w:rsidR="00FE6194" w:rsidRDefault="00FE6194" w:rsidP="00C73A94">
      <w:pPr>
        <w:spacing w:after="0"/>
      </w:pPr>
      <w:bookmarkStart w:id="2" w:name="_GoBack"/>
      <w:bookmarkEnd w:id="2"/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D0E5F"/>
    <w:multiLevelType w:val="hybridMultilevel"/>
    <w:tmpl w:val="4D02B5A2"/>
    <w:lvl w:ilvl="0" w:tplc="E71814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E78AC"/>
    <w:multiLevelType w:val="hybridMultilevel"/>
    <w:tmpl w:val="23D85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F1EFA"/>
    <w:multiLevelType w:val="hybridMultilevel"/>
    <w:tmpl w:val="08889952"/>
    <w:lvl w:ilvl="0" w:tplc="BC8E3ED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0F0238"/>
    <w:rsid w:val="001D52BB"/>
    <w:rsid w:val="001E348B"/>
    <w:rsid w:val="00210331"/>
    <w:rsid w:val="00263578"/>
    <w:rsid w:val="002A1A00"/>
    <w:rsid w:val="002C4AE3"/>
    <w:rsid w:val="0031051B"/>
    <w:rsid w:val="003D755D"/>
    <w:rsid w:val="003E27D1"/>
    <w:rsid w:val="003E34C5"/>
    <w:rsid w:val="0048655A"/>
    <w:rsid w:val="00514319"/>
    <w:rsid w:val="00541C15"/>
    <w:rsid w:val="005B35F9"/>
    <w:rsid w:val="006D32D2"/>
    <w:rsid w:val="0072563B"/>
    <w:rsid w:val="007751AB"/>
    <w:rsid w:val="00777238"/>
    <w:rsid w:val="008131C8"/>
    <w:rsid w:val="00817405"/>
    <w:rsid w:val="00856C7F"/>
    <w:rsid w:val="008A7C90"/>
    <w:rsid w:val="008B0AC5"/>
    <w:rsid w:val="009001F2"/>
    <w:rsid w:val="00933309"/>
    <w:rsid w:val="00A16BB1"/>
    <w:rsid w:val="00A97C45"/>
    <w:rsid w:val="00B447DB"/>
    <w:rsid w:val="00B86CF1"/>
    <w:rsid w:val="00C3487D"/>
    <w:rsid w:val="00C4025A"/>
    <w:rsid w:val="00C43CC5"/>
    <w:rsid w:val="00C73A94"/>
    <w:rsid w:val="00CB0455"/>
    <w:rsid w:val="00CF4301"/>
    <w:rsid w:val="00D003F1"/>
    <w:rsid w:val="00D24534"/>
    <w:rsid w:val="00DD7864"/>
    <w:rsid w:val="00E727AF"/>
    <w:rsid w:val="00EB0401"/>
    <w:rsid w:val="00EE4FC2"/>
    <w:rsid w:val="00EF635D"/>
    <w:rsid w:val="00F83B8E"/>
    <w:rsid w:val="00FA5142"/>
    <w:rsid w:val="00FA546E"/>
    <w:rsid w:val="00FA7D0F"/>
    <w:rsid w:val="00FE6194"/>
    <w:rsid w:val="0184FEC8"/>
    <w:rsid w:val="0212C90A"/>
    <w:rsid w:val="024C5AF0"/>
    <w:rsid w:val="04259E5C"/>
    <w:rsid w:val="0432E47D"/>
    <w:rsid w:val="05177563"/>
    <w:rsid w:val="05CEB4DE"/>
    <w:rsid w:val="0757B1F8"/>
    <w:rsid w:val="0930F542"/>
    <w:rsid w:val="09E0F036"/>
    <w:rsid w:val="0B4BE6C0"/>
    <w:rsid w:val="0B842CB8"/>
    <w:rsid w:val="0C24CE05"/>
    <w:rsid w:val="0D3A163A"/>
    <w:rsid w:val="0EE7B600"/>
    <w:rsid w:val="1081E016"/>
    <w:rsid w:val="10EA7701"/>
    <w:rsid w:val="114CF6F6"/>
    <w:rsid w:val="11536142"/>
    <w:rsid w:val="137697A5"/>
    <w:rsid w:val="1A557A28"/>
    <w:rsid w:val="1B0DD7B0"/>
    <w:rsid w:val="1B68812D"/>
    <w:rsid w:val="1B92E461"/>
    <w:rsid w:val="1CA7C4C0"/>
    <w:rsid w:val="1D446B77"/>
    <w:rsid w:val="1DDEAFB6"/>
    <w:rsid w:val="20CE9098"/>
    <w:rsid w:val="20D59954"/>
    <w:rsid w:val="2140F01A"/>
    <w:rsid w:val="219EA8FB"/>
    <w:rsid w:val="21FA6CBF"/>
    <w:rsid w:val="22F7B7FF"/>
    <w:rsid w:val="247890DC"/>
    <w:rsid w:val="25288BD0"/>
    <w:rsid w:val="25C502CA"/>
    <w:rsid w:val="26C45C31"/>
    <w:rsid w:val="280F4D09"/>
    <w:rsid w:val="29672A77"/>
    <w:rsid w:val="29EB5C99"/>
    <w:rsid w:val="2AABF7E7"/>
    <w:rsid w:val="2CDA688B"/>
    <w:rsid w:val="2F75ECDC"/>
    <w:rsid w:val="2FC33109"/>
    <w:rsid w:val="2FC5AD83"/>
    <w:rsid w:val="2FD80F1E"/>
    <w:rsid w:val="304AC29F"/>
    <w:rsid w:val="30BD5087"/>
    <w:rsid w:val="3189CB4E"/>
    <w:rsid w:val="31FA845D"/>
    <w:rsid w:val="3206F4B4"/>
    <w:rsid w:val="33A2DF39"/>
    <w:rsid w:val="353A2C15"/>
    <w:rsid w:val="37DCE89F"/>
    <w:rsid w:val="38665ABA"/>
    <w:rsid w:val="39E7BD89"/>
    <w:rsid w:val="3AA6974F"/>
    <w:rsid w:val="3C1FEBCD"/>
    <w:rsid w:val="3C37AC2B"/>
    <w:rsid w:val="3DD37C8C"/>
    <w:rsid w:val="3E3490C2"/>
    <w:rsid w:val="3FA439DF"/>
    <w:rsid w:val="41013E5A"/>
    <w:rsid w:val="4229FEB9"/>
    <w:rsid w:val="4310F595"/>
    <w:rsid w:val="465AC222"/>
    <w:rsid w:val="47D32BE1"/>
    <w:rsid w:val="4867C87C"/>
    <w:rsid w:val="48ABC40A"/>
    <w:rsid w:val="4C417B60"/>
    <w:rsid w:val="4CA69D04"/>
    <w:rsid w:val="4DC518A5"/>
    <w:rsid w:val="4E294508"/>
    <w:rsid w:val="4E551E08"/>
    <w:rsid w:val="4E920B71"/>
    <w:rsid w:val="50984312"/>
    <w:rsid w:val="516A96F7"/>
    <w:rsid w:val="517220A1"/>
    <w:rsid w:val="524591CF"/>
    <w:rsid w:val="524CBB37"/>
    <w:rsid w:val="559D8456"/>
    <w:rsid w:val="576FD25B"/>
    <w:rsid w:val="57996BF8"/>
    <w:rsid w:val="586B1D32"/>
    <w:rsid w:val="596D78DB"/>
    <w:rsid w:val="599FA399"/>
    <w:rsid w:val="5AA57ADF"/>
    <w:rsid w:val="5B20F06D"/>
    <w:rsid w:val="5FC74C6E"/>
    <w:rsid w:val="6080412A"/>
    <w:rsid w:val="61553FB6"/>
    <w:rsid w:val="6230B422"/>
    <w:rsid w:val="636FBCD1"/>
    <w:rsid w:val="65334440"/>
    <w:rsid w:val="66ED5E21"/>
    <w:rsid w:val="68AE1119"/>
    <w:rsid w:val="6A5CB60F"/>
    <w:rsid w:val="6D9456D1"/>
    <w:rsid w:val="7531640D"/>
    <w:rsid w:val="76932BA9"/>
    <w:rsid w:val="77A929F4"/>
    <w:rsid w:val="77DFC51C"/>
    <w:rsid w:val="78DEF6FE"/>
    <w:rsid w:val="7BD3B2B0"/>
    <w:rsid w:val="7CE86434"/>
    <w:rsid w:val="7D026D2D"/>
    <w:rsid w:val="7FA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4A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2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7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7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AF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AC5"/>
    <w:pPr>
      <w:spacing w:after="0" w:line="240" w:lineRule="auto"/>
    </w:pPr>
    <w:rPr>
      <w:sz w:val="20"/>
      <w:szCs w:val="18"/>
      <w:lang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AC5"/>
    <w:rPr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cbi.nlm.nih.gov/pubmed/?term=Grabowski%20DC%5BAuthor%5D&amp;cauthor=true&amp;cauthor_uid=2663309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cbi.nlm.nih.gov/pubmed/?term=Trivedi%20AN%5BAuthor%5D&amp;cauthor=true&amp;cauthor_uid=2663309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pubmed/?term=Jung%20HY%5BAuthor%5D&amp;cauthor=true&amp;cauthor_uid=2663309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cbi.nlm.nih.gov/pubmed/26633095" TargetMode="External"/><Relationship Id="rId10" Type="http://schemas.openxmlformats.org/officeDocument/2006/relationships/hyperlink" Target="http://www.medpac.gov/docs/default-source/data-book/jun18_databookentirereport_sec.pdf?sfvrsn=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ncbi.nlm.nih.gov/pubmed/?term=Mor%20V%5BAuthor%5D&amp;cauthor=true&amp;cauthor_uid=26633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40A2D-66F8-4123-9A6E-4046AAB9B60C}"/>
</file>

<file path=customXml/itemProps2.xml><?xml version="1.0" encoding="utf-8"?>
<ds:datastoreItem xmlns:ds="http://schemas.openxmlformats.org/officeDocument/2006/customXml" ds:itemID="{AC888A28-5B10-48BE-B8D6-480C75C53C84}"/>
</file>

<file path=customXml/itemProps3.xml><?xml version="1.0" encoding="utf-8"?>
<ds:datastoreItem xmlns:ds="http://schemas.openxmlformats.org/officeDocument/2006/customXml" ds:itemID="{422B8E45-4B7B-44CA-883D-6EABF409C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2095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Suzanne K Furuya</cp:lastModifiedBy>
  <cp:revision>4</cp:revision>
  <dcterms:created xsi:type="dcterms:W3CDTF">2021-01-05T01:21:00Z</dcterms:created>
  <dcterms:modified xsi:type="dcterms:W3CDTF">2021-04-30T20:25:00Z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