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FF7" w:rsidP="00E8348C" w:rsidRDefault="005C23F5" w14:paraId="126FD11B" w14:textId="07EBDAFF">
      <w:pPr>
        <w:pStyle w:val="Heading1"/>
      </w:pPr>
      <w:r>
        <w:t xml:space="preserve">Glyburide for women with gestational diabetes </w:t>
      </w:r>
      <w:r w:rsidR="1B789864">
        <w:t>ha</w:t>
      </w:r>
      <w:r w:rsidR="4C9D8BDE">
        <w:t>d</w:t>
      </w:r>
      <w:r w:rsidR="1B789864">
        <w:t xml:space="preserve"> similar neonatal </w:t>
      </w:r>
      <w:r w:rsidR="724DA0E8">
        <w:t xml:space="preserve">developmental and delivery </w:t>
      </w:r>
      <w:r w:rsidR="1B789864">
        <w:t>outcomes and fewer NICU admissions</w:t>
      </w:r>
      <w:r w:rsidR="4B01BB7D">
        <w:t xml:space="preserve"> than insulin therapy</w:t>
      </w:r>
    </w:p>
    <w:p w:rsidR="005C23F5" w:rsidP="005C23F5" w:rsidRDefault="005C23F5" w14:paraId="00DBBEFA" w14:textId="77777777">
      <w:r>
        <w:t>Monique Hedderson, Anne Regenstein</w:t>
      </w:r>
    </w:p>
    <w:tbl>
      <w:tblPr>
        <w:tblStyle w:val="TableGrid"/>
        <w:tblW w:w="9470" w:type="dxa"/>
        <w:tblLook w:val="04A0" w:firstRow="1" w:lastRow="0" w:firstColumn="1" w:lastColumn="0" w:noHBand="0" w:noVBand="1"/>
      </w:tblPr>
      <w:tblGrid>
        <w:gridCol w:w="2638"/>
        <w:gridCol w:w="6832"/>
      </w:tblGrid>
      <w:tr w:rsidRPr="008A7C90" w:rsidR="00E8348C" w:rsidTr="0DF7703D" w14:paraId="5E8C4A25" w14:textId="77777777">
        <w:trPr>
          <w:trHeight w:val="816"/>
        </w:trPr>
        <w:tc>
          <w:tcPr>
            <w:tcW w:w="2638" w:type="dxa"/>
            <w:tcMar/>
          </w:tcPr>
          <w:p w:rsidRPr="008A7C90" w:rsidR="00E8348C" w:rsidP="005D5EA7" w:rsidRDefault="00E8348C" w14:paraId="5B70F066" w14:textId="77777777">
            <w:pPr>
              <w:spacing w:after="160" w:line="259" w:lineRule="auto"/>
            </w:pPr>
            <w:bookmarkStart w:name="_Hlk54105970" w:id="0"/>
            <w:r w:rsidRPr="008A7C90">
              <w:t>Challenge</w:t>
            </w:r>
          </w:p>
        </w:tc>
        <w:tc>
          <w:tcPr>
            <w:tcW w:w="6832" w:type="dxa"/>
            <w:tcMar/>
          </w:tcPr>
          <w:p w:rsidRPr="00072C16" w:rsidR="00E8348C" w:rsidP="00E8348C" w:rsidRDefault="005C23F5" w14:paraId="16C35478" w14:textId="1D733A50">
            <w:pPr>
              <w:rPr>
                <w:b/>
              </w:rPr>
            </w:pPr>
            <w:r w:rsidRPr="00072C16">
              <w:rPr>
                <w:b/>
              </w:rPr>
              <w:t>There is insufficient evidence to support use of glyburide versus insulin for patients with gestational diabetes (GDM) who require medication.</w:t>
            </w:r>
          </w:p>
        </w:tc>
      </w:tr>
      <w:tr w:rsidRPr="008A7C90" w:rsidR="00E8348C" w:rsidTr="0DF7703D" w14:paraId="1E76C968" w14:textId="77777777">
        <w:trPr>
          <w:trHeight w:val="1091"/>
        </w:trPr>
        <w:tc>
          <w:tcPr>
            <w:tcW w:w="2638" w:type="dxa"/>
            <w:tcMar/>
          </w:tcPr>
          <w:p w:rsidRPr="008A7C90" w:rsidR="00E8348C" w:rsidP="005D5EA7" w:rsidRDefault="00E8348C" w14:paraId="47056361" w14:textId="77777777">
            <w:pPr>
              <w:spacing w:after="160" w:line="259" w:lineRule="auto"/>
            </w:pPr>
            <w:r w:rsidRPr="008A7C90">
              <w:t>Existing Evidence</w:t>
            </w:r>
          </w:p>
        </w:tc>
        <w:tc>
          <w:tcPr>
            <w:tcW w:w="6832" w:type="dxa"/>
            <w:tcMar/>
          </w:tcPr>
          <w:p w:rsidRPr="008A7C90" w:rsidR="00E8348C" w:rsidP="00E8348C" w:rsidRDefault="005C23F5" w14:paraId="34C25655" w14:textId="11BDB3A6">
            <w:r>
              <w:t xml:space="preserve">Current evidence for GDM treatment using </w:t>
            </w:r>
            <w:r w:rsidRPr="008662F2">
              <w:t>glyburide</w:t>
            </w:r>
            <w:r>
              <w:t xml:space="preserve"> is conflicting. Some recent studies have suggested that glyburide is not an effective first-line treatment compared to insulin.  In contrast, insulin requires more intensive training and more complicated administration.  One study suggested it couldn’t be proven that glyburide compared with insulin does not result in </w:t>
            </w:r>
            <w:r w:rsidRPr="000D0178">
              <w:t xml:space="preserve">a greater frequency of perinatal complications and </w:t>
            </w:r>
            <w:r>
              <w:t>raised questions regarding</w:t>
            </w:r>
            <w:r w:rsidRPr="000D0178">
              <w:t xml:space="preserve"> the use of glyburide as a first-line treatment.</w:t>
            </w:r>
          </w:p>
        </w:tc>
      </w:tr>
      <w:tr w:rsidRPr="008A7C90" w:rsidR="00E8348C" w:rsidTr="0DF7703D" w14:paraId="4653D493" w14:textId="77777777">
        <w:trPr>
          <w:trHeight w:val="262"/>
        </w:trPr>
        <w:tc>
          <w:tcPr>
            <w:tcW w:w="2638" w:type="dxa"/>
            <w:tcMar/>
          </w:tcPr>
          <w:p w:rsidRPr="008A7C90" w:rsidR="00E8348C" w:rsidP="005D5EA7" w:rsidRDefault="00E8348C" w14:paraId="4E195C0B" w14:textId="77777777">
            <w:pPr>
              <w:spacing w:after="160" w:line="259" w:lineRule="auto"/>
            </w:pPr>
            <w:r w:rsidRPr="008A7C90">
              <w:t>Target Population</w:t>
            </w:r>
          </w:p>
        </w:tc>
        <w:tc>
          <w:tcPr>
            <w:tcW w:w="6832" w:type="dxa"/>
            <w:tcMar/>
          </w:tcPr>
          <w:p w:rsidRPr="008A7C90" w:rsidR="00E8348C" w:rsidP="00E8348C" w:rsidRDefault="005C23F5" w14:paraId="3DECF3DA" w14:textId="7B0130C8">
            <w:r>
              <w:t>Women with gestational diabetes.</w:t>
            </w:r>
          </w:p>
        </w:tc>
      </w:tr>
      <w:tr w:rsidRPr="008A7C90" w:rsidR="00E8348C" w:rsidTr="0DF7703D" w14:paraId="3C9DF6E4" w14:textId="77777777">
        <w:trPr>
          <w:trHeight w:val="276"/>
        </w:trPr>
        <w:tc>
          <w:tcPr>
            <w:tcW w:w="2638" w:type="dxa"/>
            <w:tcMar/>
          </w:tcPr>
          <w:p w:rsidRPr="008A7C90" w:rsidR="00E8348C" w:rsidP="005D5EA7" w:rsidRDefault="00E8348C" w14:paraId="190EF833" w14:textId="77777777">
            <w:pPr>
              <w:spacing w:after="160" w:line="259" w:lineRule="auto"/>
            </w:pPr>
            <w:r w:rsidRPr="008A7C90">
              <w:t>Intervention or Exposure</w:t>
            </w:r>
          </w:p>
        </w:tc>
        <w:tc>
          <w:tcPr>
            <w:tcW w:w="6832" w:type="dxa"/>
            <w:tcMar/>
          </w:tcPr>
          <w:p w:rsidRPr="008A7C90" w:rsidR="00E8348C" w:rsidP="00E8348C" w:rsidRDefault="005C23F5" w14:paraId="6E548C79" w14:textId="30D23FBF">
            <w:r>
              <w:t xml:space="preserve">Cohorts </w:t>
            </w:r>
            <w:r w:rsidRPr="008662F2">
              <w:t>defined by therapy regimens</w:t>
            </w:r>
            <w:r>
              <w:t>—insulin vs. glyburide.</w:t>
            </w:r>
          </w:p>
        </w:tc>
      </w:tr>
      <w:tr w:rsidRPr="008A7C90" w:rsidR="00E8348C" w:rsidTr="0DF7703D" w14:paraId="7840AA83" w14:textId="77777777">
        <w:trPr>
          <w:trHeight w:val="1952"/>
        </w:trPr>
        <w:tc>
          <w:tcPr>
            <w:tcW w:w="2638" w:type="dxa"/>
            <w:tcMar/>
          </w:tcPr>
          <w:p w:rsidRPr="008A7C90" w:rsidR="00E8348C" w:rsidP="005D5EA7" w:rsidRDefault="00E8348C" w14:paraId="13156944" w14:textId="77777777">
            <w:pPr>
              <w:spacing w:after="160" w:line="259" w:lineRule="auto"/>
            </w:pPr>
            <w:r w:rsidRPr="008A7C90">
              <w:t>Outcomes/Key Findings</w:t>
            </w:r>
          </w:p>
        </w:tc>
        <w:tc>
          <w:tcPr>
            <w:tcW w:w="6832" w:type="dxa"/>
            <w:tcMar/>
          </w:tcPr>
          <w:p w:rsidRPr="00072C16" w:rsidR="00E8348C" w:rsidP="00E8348C" w:rsidRDefault="005C23F5" w14:paraId="3774006A" w14:textId="66E73FBD">
            <w:pPr>
              <w:rPr>
                <w:b/>
              </w:rPr>
            </w:pPr>
            <w:r w:rsidRPr="00072C16">
              <w:rPr>
                <w:b/>
              </w:rPr>
              <w:t>The children of women who use glyburide versus insulin for GDM have similar rates of macrosomia, hypoglycemia, hyperbilirubinemia, cesarean delivery; in addition, they had significantly lower rates of a NICU admission (risk difference -0.03[95%CI:-0.06;-0.002]) or respiratory distress syndrome (-0.02[-0.04;-0.001]) and a trend towards higher rates of an appropriately sized for gestational age infant (0.04[-0.002;0.08]).</w:t>
            </w:r>
          </w:p>
        </w:tc>
      </w:tr>
      <w:tr w:rsidRPr="008A7C90" w:rsidR="00E8348C" w:rsidTr="0DF7703D" w14:paraId="1AFEE115" w14:textId="77777777">
        <w:trPr>
          <w:trHeight w:val="816"/>
        </w:trPr>
        <w:tc>
          <w:tcPr>
            <w:tcW w:w="2638" w:type="dxa"/>
            <w:tcMar/>
          </w:tcPr>
          <w:p w:rsidRPr="008A7C90" w:rsidR="00E8348C" w:rsidP="005D5EA7" w:rsidRDefault="00E8348C" w14:paraId="63DA52C8" w14:textId="77777777">
            <w:pPr>
              <w:spacing w:after="160" w:line="259" w:lineRule="auto"/>
            </w:pPr>
            <w:r w:rsidRPr="008A7C90">
              <w:t>Resulting Action/Change</w:t>
            </w:r>
          </w:p>
        </w:tc>
        <w:tc>
          <w:tcPr>
            <w:tcW w:w="6832" w:type="dxa"/>
            <w:tcMar/>
          </w:tcPr>
          <w:p w:rsidR="005C23F5" w:rsidP="005C23F5" w:rsidRDefault="005C23F5" w14:paraId="34A25C7B" w14:textId="77777777">
            <w:r w:rsidRPr="00072C16">
              <w:rPr>
                <w:b/>
              </w:rPr>
              <w:t xml:space="preserve">This study informed initiation of a large-scale randomized NIH trial in 2019 </w:t>
            </w:r>
            <w:r>
              <w:t>that is currently ongoing and also, for appropriate patients, supports the ongoing use of both agents pending results from that trial.</w:t>
            </w:r>
          </w:p>
          <w:p w:rsidRPr="008A7C90" w:rsidR="00E8348C" w:rsidP="00E8348C" w:rsidRDefault="00E8348C" w14:paraId="49A6B1C6" w14:textId="667F1701"/>
        </w:tc>
      </w:tr>
      <w:tr w:rsidRPr="008A7C90" w:rsidR="00E8348C" w:rsidTr="0DF7703D" w14:paraId="5C20182D" w14:textId="77777777">
        <w:trPr>
          <w:trHeight w:val="552"/>
        </w:trPr>
        <w:tc>
          <w:tcPr>
            <w:tcW w:w="2638" w:type="dxa"/>
            <w:tcMar/>
          </w:tcPr>
          <w:p w:rsidRPr="008A7C90" w:rsidR="00E8348C" w:rsidP="005D5EA7" w:rsidRDefault="00E8348C" w14:paraId="3F0DA88A" w14:textId="77777777">
            <w:pPr>
              <w:spacing w:after="160" w:line="259" w:lineRule="auto"/>
            </w:pPr>
            <w:r w:rsidRPr="008A7C90">
              <w:t>Implementation Tools</w:t>
            </w:r>
            <w:r w:rsidRPr="008A7C90">
              <w:tab/>
            </w:r>
          </w:p>
        </w:tc>
        <w:tc>
          <w:tcPr>
            <w:tcW w:w="6832" w:type="dxa"/>
            <w:tcMar/>
          </w:tcPr>
          <w:p w:rsidRPr="008A7C90" w:rsidR="00E8348C" w:rsidP="00426C21" w:rsidRDefault="005C23F5" w14:paraId="0A077BAB" w14:textId="0ACF2F3B">
            <w:r>
              <w:t>None.</w:t>
            </w:r>
          </w:p>
        </w:tc>
      </w:tr>
      <w:tr w:rsidRPr="008A7C90" w:rsidR="00E03699" w:rsidTr="0DF7703D" w14:paraId="26E269CA" w14:textId="77777777">
        <w:trPr>
          <w:trHeight w:val="552"/>
        </w:trPr>
        <w:tc>
          <w:tcPr>
            <w:tcW w:w="2638" w:type="dxa"/>
            <w:tcMar/>
          </w:tcPr>
          <w:p w:rsidR="00E03699" w:rsidP="005D5EA7" w:rsidRDefault="00E03699" w14:paraId="54C02FD6" w14:textId="141F61AA">
            <w:r>
              <w:t>Additional recommendations</w:t>
            </w:r>
          </w:p>
        </w:tc>
        <w:tc>
          <w:tcPr>
            <w:tcW w:w="6832" w:type="dxa"/>
            <w:tcMar/>
          </w:tcPr>
          <w:p w:rsidR="00E03699" w:rsidP="00E8348C" w:rsidRDefault="00E03699" w14:paraId="6BF81249" w14:textId="10E189BC">
            <w:r w:rsidR="00E03699">
              <w:rPr/>
              <w:t>Pending clinical trial results, these results support the ongoing use of glyburide in appropriate women with gestational diabetes</w:t>
            </w:r>
            <w:r w:rsidR="47219BB1">
              <w:rPr/>
              <w:t xml:space="preserve">.  Pending the results of </w:t>
            </w:r>
            <w:r w:rsidR="096FB14C">
              <w:rPr/>
              <w:t xml:space="preserve">a </w:t>
            </w:r>
            <w:r w:rsidR="47219BB1">
              <w:rPr/>
              <w:t xml:space="preserve">randomized trial, these results could be disseminated to clinicians to provide re-assurance regarding these </w:t>
            </w:r>
            <w:proofErr w:type="gramStart"/>
            <w:r w:rsidR="47219BB1">
              <w:rPr/>
              <w:t>therapies</w:t>
            </w:r>
            <w:proofErr w:type="gramEnd"/>
          </w:p>
        </w:tc>
      </w:tr>
      <w:tr w:rsidRPr="008A7C90" w:rsidR="00E8348C" w:rsidTr="0DF7703D" w14:paraId="2ACA0AFD" w14:textId="77777777">
        <w:trPr>
          <w:trHeight w:val="552"/>
        </w:trPr>
        <w:tc>
          <w:tcPr>
            <w:tcW w:w="2638" w:type="dxa"/>
            <w:tcMar/>
          </w:tcPr>
          <w:p w:rsidRPr="008A7C90" w:rsidR="00E8348C" w:rsidP="005D5EA7" w:rsidRDefault="00E8348C" w14:paraId="564C5402" w14:textId="77777777">
            <w:pPr>
              <w:spacing w:after="160" w:line="259" w:lineRule="auto"/>
            </w:pPr>
            <w:r>
              <w:t xml:space="preserve">Follow-Up </w:t>
            </w:r>
            <w:r w:rsidRPr="008A7C90">
              <w:t>Implementation Measurement</w:t>
            </w:r>
          </w:p>
        </w:tc>
        <w:tc>
          <w:tcPr>
            <w:tcW w:w="6832" w:type="dxa"/>
            <w:tcMar/>
          </w:tcPr>
          <w:p w:rsidRPr="008A7C90" w:rsidR="00E8348C" w:rsidP="00E8348C" w:rsidRDefault="005C23F5" w14:paraId="493FAC83" w14:textId="08C44843">
            <w:r>
              <w:t xml:space="preserve">Utilization of glyburide and insulin and infant outcomes </w:t>
            </w:r>
            <w:r w:rsidRPr="006B4985">
              <w:t>(macrosomia, hypoglycemia and hyperbilirubinemia</w:t>
            </w:r>
            <w:r w:rsidR="00196447">
              <w:t xml:space="preserve"> and NICU admissions</w:t>
            </w:r>
            <w:bookmarkStart w:name="_GoBack" w:id="1"/>
            <w:bookmarkEnd w:id="1"/>
            <w:r w:rsidRPr="006B4985">
              <w:t>)</w:t>
            </w:r>
            <w:r>
              <w:t>.</w:t>
            </w:r>
          </w:p>
        </w:tc>
      </w:tr>
      <w:tr w:rsidRPr="008A7C90" w:rsidR="00E8348C" w:rsidTr="0DF7703D" w14:paraId="088024D0" w14:textId="77777777">
        <w:trPr>
          <w:trHeight w:val="538"/>
        </w:trPr>
        <w:tc>
          <w:tcPr>
            <w:tcW w:w="2638" w:type="dxa"/>
            <w:tcMar/>
          </w:tcPr>
          <w:p w:rsidR="00E8348C" w:rsidP="00E8348C" w:rsidRDefault="00E8348C" w14:paraId="6FE7C24E" w14:textId="167543DB">
            <w:r>
              <w:t>Reference(s) [Key Figure if applicable]</w:t>
            </w:r>
          </w:p>
          <w:p w:rsidRPr="008A7C90" w:rsidR="00E8348C" w:rsidP="005D5EA7" w:rsidRDefault="00E8348C" w14:paraId="241446E1" w14:textId="5EA15FDE">
            <w:pPr>
              <w:spacing w:after="160" w:line="259" w:lineRule="auto"/>
            </w:pPr>
          </w:p>
        </w:tc>
        <w:tc>
          <w:tcPr>
            <w:tcW w:w="6832" w:type="dxa"/>
            <w:tcMar/>
          </w:tcPr>
          <w:p w:rsidRPr="008A7C90" w:rsidR="00E8348C" w:rsidP="00E8348C" w:rsidRDefault="00426C21" w14:paraId="69E4C5AB" w14:textId="604034CD">
            <w:r>
              <w:t>Internal Report</w:t>
            </w:r>
          </w:p>
        </w:tc>
      </w:tr>
      <w:bookmarkEnd w:id="0"/>
    </w:tbl>
    <w:p w:rsidR="006721AA" w:rsidP="00746FF7" w:rsidRDefault="006721AA" w14:paraId="2168FB69" w14:textId="77777777"/>
    <w:sectPr w:rsidR="006721AA">
      <w:head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FF7" w:rsidP="00746FF7" w:rsidRDefault="00746FF7" w14:paraId="3048CFD5" w14:textId="77777777">
      <w:pPr>
        <w:spacing w:after="0" w:line="240" w:lineRule="auto"/>
      </w:pPr>
      <w:r>
        <w:separator/>
      </w:r>
    </w:p>
  </w:endnote>
  <w:endnote w:type="continuationSeparator" w:id="0">
    <w:p w:rsidR="00746FF7" w:rsidP="00746FF7" w:rsidRDefault="00746FF7" w14:paraId="6357091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FF7" w:rsidP="00746FF7" w:rsidRDefault="00746FF7" w14:paraId="082C248B" w14:textId="77777777">
      <w:pPr>
        <w:spacing w:after="0" w:line="240" w:lineRule="auto"/>
      </w:pPr>
      <w:r>
        <w:separator/>
      </w:r>
    </w:p>
  </w:footnote>
  <w:footnote w:type="continuationSeparator" w:id="0">
    <w:p w:rsidR="00746FF7" w:rsidP="00746FF7" w:rsidRDefault="00746FF7" w14:paraId="3CCFCF7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FF7" w:rsidRDefault="00746FF7" w14:paraId="571E1539" w14:textId="4CC41EDB">
    <w:pPr>
      <w:pStyle w:val="Header"/>
    </w:pPr>
    <w:r>
      <w:t>Delivery Science Research Grants (DSRG)</w:t>
    </w:r>
  </w:p>
  <w:p w:rsidR="00746FF7" w:rsidRDefault="00746FF7" w14:paraId="6249841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F7"/>
    <w:rsid w:val="00053C62"/>
    <w:rsid w:val="00072C16"/>
    <w:rsid w:val="00196447"/>
    <w:rsid w:val="00426C21"/>
    <w:rsid w:val="004657E7"/>
    <w:rsid w:val="005C23F5"/>
    <w:rsid w:val="006721AA"/>
    <w:rsid w:val="00746FF7"/>
    <w:rsid w:val="00855FDB"/>
    <w:rsid w:val="00897D81"/>
    <w:rsid w:val="008D7A92"/>
    <w:rsid w:val="00AB6D46"/>
    <w:rsid w:val="00E03699"/>
    <w:rsid w:val="00E13703"/>
    <w:rsid w:val="00E33E5E"/>
    <w:rsid w:val="00E416F1"/>
    <w:rsid w:val="00E8348C"/>
    <w:rsid w:val="00F14CD8"/>
    <w:rsid w:val="00F15D26"/>
    <w:rsid w:val="096FB14C"/>
    <w:rsid w:val="0DF7703D"/>
    <w:rsid w:val="12FB2E50"/>
    <w:rsid w:val="1B789864"/>
    <w:rsid w:val="2442DBCE"/>
    <w:rsid w:val="3E63B1EF"/>
    <w:rsid w:val="47219BB1"/>
    <w:rsid w:val="4B01BB7D"/>
    <w:rsid w:val="4C9D8BDE"/>
    <w:rsid w:val="5A12E17D"/>
    <w:rsid w:val="5ABCDF82"/>
    <w:rsid w:val="724DA0E8"/>
    <w:rsid w:val="7CFDF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909D"/>
  <w15:chartTrackingRefBased/>
  <w15:docId w15:val="{D778A3EF-757F-4382-85DD-645FB9DE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746FF7"/>
  </w:style>
  <w:style w:type="paragraph" w:styleId="Heading1">
    <w:name w:val="heading 1"/>
    <w:basedOn w:val="Normal"/>
    <w:next w:val="Normal"/>
    <w:link w:val="Heading1Char"/>
    <w:uiPriority w:val="9"/>
    <w:qFormat/>
    <w:rsid w:val="00E8348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46FF7"/>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6FF7"/>
  </w:style>
  <w:style w:type="paragraph" w:styleId="Footer">
    <w:name w:val="footer"/>
    <w:basedOn w:val="Normal"/>
    <w:link w:val="FooterChar"/>
    <w:uiPriority w:val="99"/>
    <w:unhideWhenUsed/>
    <w:rsid w:val="00746FF7"/>
    <w:pPr>
      <w:tabs>
        <w:tab w:val="center" w:pos="4680"/>
        <w:tab w:val="right" w:pos="9360"/>
      </w:tabs>
      <w:spacing w:after="0" w:line="240" w:lineRule="auto"/>
    </w:pPr>
  </w:style>
  <w:style w:type="character" w:styleId="FooterChar" w:customStyle="1">
    <w:name w:val="Footer Char"/>
    <w:basedOn w:val="DefaultParagraphFont"/>
    <w:link w:val="Footer"/>
    <w:uiPriority w:val="99"/>
    <w:rsid w:val="00746FF7"/>
  </w:style>
  <w:style w:type="character" w:styleId="Hyperlink">
    <w:name w:val="Hyperlink"/>
    <w:basedOn w:val="DefaultParagraphFont"/>
    <w:uiPriority w:val="99"/>
    <w:unhideWhenUsed/>
    <w:rsid w:val="006721AA"/>
    <w:rPr>
      <w:color w:val="0563C1" w:themeColor="hyperlink"/>
      <w:u w:val="single"/>
    </w:rPr>
  </w:style>
  <w:style w:type="character" w:styleId="FollowedHyperlink">
    <w:name w:val="FollowedHyperlink"/>
    <w:basedOn w:val="DefaultParagraphFont"/>
    <w:uiPriority w:val="99"/>
    <w:semiHidden/>
    <w:unhideWhenUsed/>
    <w:rsid w:val="006721AA"/>
    <w:rPr>
      <w:color w:val="954F72" w:themeColor="followedHyperlink"/>
      <w:u w:val="single"/>
    </w:rPr>
  </w:style>
  <w:style w:type="character" w:styleId="UnresolvedMention">
    <w:name w:val="Unresolved Mention"/>
    <w:basedOn w:val="DefaultParagraphFont"/>
    <w:uiPriority w:val="99"/>
    <w:semiHidden/>
    <w:unhideWhenUsed/>
    <w:rsid w:val="006721AA"/>
    <w:rPr>
      <w:color w:val="605E5C"/>
      <w:shd w:val="clear" w:color="auto" w:fill="E1DFDD"/>
    </w:rPr>
  </w:style>
  <w:style w:type="character" w:styleId="CommentReference">
    <w:name w:val="annotation reference"/>
    <w:basedOn w:val="DefaultParagraphFont"/>
    <w:uiPriority w:val="99"/>
    <w:semiHidden/>
    <w:unhideWhenUsed/>
    <w:rsid w:val="004657E7"/>
    <w:rPr>
      <w:sz w:val="16"/>
      <w:szCs w:val="16"/>
    </w:rPr>
  </w:style>
  <w:style w:type="paragraph" w:styleId="CommentText">
    <w:name w:val="annotation text"/>
    <w:basedOn w:val="Normal"/>
    <w:link w:val="CommentTextChar"/>
    <w:uiPriority w:val="99"/>
    <w:semiHidden/>
    <w:unhideWhenUsed/>
    <w:rsid w:val="004657E7"/>
    <w:pPr>
      <w:spacing w:line="240" w:lineRule="auto"/>
    </w:pPr>
    <w:rPr>
      <w:sz w:val="20"/>
      <w:szCs w:val="20"/>
    </w:rPr>
  </w:style>
  <w:style w:type="character" w:styleId="CommentTextChar" w:customStyle="1">
    <w:name w:val="Comment Text Char"/>
    <w:basedOn w:val="DefaultParagraphFont"/>
    <w:link w:val="CommentText"/>
    <w:uiPriority w:val="99"/>
    <w:semiHidden/>
    <w:rsid w:val="004657E7"/>
    <w:rPr>
      <w:sz w:val="20"/>
      <w:szCs w:val="20"/>
    </w:rPr>
  </w:style>
  <w:style w:type="paragraph" w:styleId="CommentSubject">
    <w:name w:val="annotation subject"/>
    <w:basedOn w:val="CommentText"/>
    <w:next w:val="CommentText"/>
    <w:link w:val="CommentSubjectChar"/>
    <w:uiPriority w:val="99"/>
    <w:semiHidden/>
    <w:unhideWhenUsed/>
    <w:rsid w:val="004657E7"/>
    <w:rPr>
      <w:b/>
      <w:bCs/>
    </w:rPr>
  </w:style>
  <w:style w:type="character" w:styleId="CommentSubjectChar" w:customStyle="1">
    <w:name w:val="Comment Subject Char"/>
    <w:basedOn w:val="CommentTextChar"/>
    <w:link w:val="CommentSubject"/>
    <w:uiPriority w:val="99"/>
    <w:semiHidden/>
    <w:rsid w:val="004657E7"/>
    <w:rPr>
      <w:b/>
      <w:bCs/>
      <w:sz w:val="20"/>
      <w:szCs w:val="20"/>
    </w:rPr>
  </w:style>
  <w:style w:type="paragraph" w:styleId="BalloonText">
    <w:name w:val="Balloon Text"/>
    <w:basedOn w:val="Normal"/>
    <w:link w:val="BalloonTextChar"/>
    <w:uiPriority w:val="99"/>
    <w:semiHidden/>
    <w:unhideWhenUsed/>
    <w:rsid w:val="004657E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657E7"/>
    <w:rPr>
      <w:rFonts w:ascii="Segoe UI" w:hAnsi="Segoe UI" w:cs="Segoe UI"/>
      <w:sz w:val="18"/>
      <w:szCs w:val="18"/>
    </w:rPr>
  </w:style>
  <w:style w:type="table" w:styleId="TableGrid">
    <w:name w:val="Table Grid"/>
    <w:basedOn w:val="TableNormal"/>
    <w:uiPriority w:val="39"/>
    <w:rsid w:val="00E834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E8348C"/>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00827-876F-451C-A276-10FE0362407E}"/>
</file>

<file path=customXml/itemProps2.xml><?xml version="1.0" encoding="utf-8"?>
<ds:datastoreItem xmlns:ds="http://schemas.openxmlformats.org/officeDocument/2006/customXml" ds:itemID="{5F0D9E66-F8D3-496D-9241-739AB7D56770}"/>
</file>

<file path=customXml/itemProps3.xml><?xml version="1.0" encoding="utf-8"?>
<ds:datastoreItem xmlns:ds="http://schemas.openxmlformats.org/officeDocument/2006/customXml" ds:itemID="{BF47BB22-AF5B-4FDE-8DC7-55C465835D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Douglas A Corley</cp:lastModifiedBy>
  <cp:revision>8</cp:revision>
  <dcterms:created xsi:type="dcterms:W3CDTF">2020-10-30T18:01:00Z</dcterms:created>
  <dcterms:modified xsi:type="dcterms:W3CDTF">2021-03-14T23:19:40Z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