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mc:Ignorable="w14 w15 w16se w16cid wp14">
  <w:body>
    <w:p w:rsidRPr="000C382A" w:rsidR="00141E89" w:rsidP="00021A97" w:rsidRDefault="00141E89" w14:paraId="61DD3E32" w14:textId="5E3C21F1">
      <w:pPr>
        <w:spacing w:after="0"/>
        <w:rPr>
          <w:rFonts w:ascii="Calibri" w:hAnsi="Calibri" w:eastAsia="Calibri" w:cs="Calibri"/>
          <w:color w:val="4472C4" w:themeColor="accent1"/>
          <w:sz w:val="24"/>
          <w:szCs w:val="24"/>
        </w:rPr>
      </w:pPr>
      <w:r w:rsidRPr="000C382A">
        <w:rPr>
          <w:rFonts w:ascii="Calibri" w:hAnsi="Calibri" w:eastAsia="Calibri" w:cs="Calibri"/>
          <w:color w:val="4472C4" w:themeColor="accent1"/>
          <w:sz w:val="24"/>
          <w:szCs w:val="24"/>
        </w:rPr>
        <w:t xml:space="preserve">Regionalization of testicular cancer diagnosis and treatment planning was effective and increased satisfaction among general oncologists and urologists and depended on leadership at multiple levels and technology/workflow alignment. </w:t>
      </w:r>
    </w:p>
    <w:p w:rsidR="00141E89" w:rsidP="00141E89" w:rsidRDefault="00141E89" w14:paraId="7FA7E558" w14:textId="77777777">
      <w:pPr>
        <w:spacing w:after="0"/>
      </w:pPr>
      <w:r>
        <w:t xml:space="preserve">Andrea L Harzstark, MD; Andrea Altschuler, PhD; Laura B Amsden, MPH, MSW; Mubarika Alavi, MS; Liyan Liu, MS; Joseph C Presti, MD; Leslie C </w:t>
      </w:r>
      <w:proofErr w:type="spellStart"/>
      <w:r>
        <w:t>Manace</w:t>
      </w:r>
      <w:proofErr w:type="spellEnd"/>
      <w:r>
        <w:t xml:space="preserve"> </w:t>
      </w:r>
      <w:proofErr w:type="spellStart"/>
      <w:r>
        <w:t>Brenman</w:t>
      </w:r>
      <w:proofErr w:type="spellEnd"/>
      <w:r>
        <w:t>, MD; L</w:t>
      </w:r>
      <w:bookmarkStart w:name="_GoBack" w:id="0"/>
      <w:bookmarkEnd w:id="0"/>
      <w:r>
        <w:t>auren C Walker, MPH; Rene R Ryken, RN; Aileen C De Mucha Flores, MSN;  Craig Nichols, MD; Lisa J Herrinton, PhD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Pr="008A7C90" w:rsidR="0048655A" w:rsidTr="1A6493AB" w14:paraId="307289BF" w14:textId="77777777">
        <w:trPr>
          <w:trHeight w:val="816"/>
        </w:trPr>
        <w:tc>
          <w:tcPr>
            <w:tcW w:w="1975" w:type="dxa"/>
            <w:tcMar/>
          </w:tcPr>
          <w:p w:rsidRPr="008A7C90" w:rsidR="0048655A" w:rsidP="0048655A" w:rsidRDefault="0048655A" w14:paraId="2C7E2D09" w14:textId="77777777">
            <w:pPr>
              <w:spacing w:line="259" w:lineRule="auto"/>
            </w:pPr>
            <w:bookmarkStart w:name="_Hlk54105970" w:id="1"/>
            <w:r w:rsidRPr="008A7C90">
              <w:t>Challenge</w:t>
            </w:r>
          </w:p>
        </w:tc>
        <w:tc>
          <w:tcPr>
            <w:tcW w:w="8730" w:type="dxa"/>
            <w:tcMar/>
          </w:tcPr>
          <w:p w:rsidRPr="0031051B" w:rsidR="009137A9" w:rsidP="0048655A" w:rsidRDefault="009137A9" w14:paraId="7F9273D4" w14:textId="5E7A940B">
            <w:pPr>
              <w:spacing w:line="259" w:lineRule="auto"/>
              <w:rPr>
                <w:b w:val="1"/>
                <w:bCs w:val="1"/>
              </w:rPr>
            </w:pPr>
            <w:r w:rsidRPr="1A6493AB" w:rsidR="009137A9">
              <w:rPr>
                <w:b w:val="1"/>
                <w:bCs w:val="1"/>
              </w:rPr>
              <w:t>Testicular cancer is a rare cancer</w:t>
            </w:r>
            <w:r w:rsidRPr="1A6493AB" w:rsidR="7BCF079E">
              <w:rPr>
                <w:b w:val="1"/>
                <w:bCs w:val="1"/>
              </w:rPr>
              <w:t xml:space="preserve">; it is </w:t>
            </w:r>
            <w:r w:rsidRPr="1A6493AB" w:rsidR="126CCE39">
              <w:rPr>
                <w:b w:val="1"/>
                <w:bCs w:val="1"/>
              </w:rPr>
              <w:t>challeng</w:t>
            </w:r>
            <w:r w:rsidRPr="1A6493AB" w:rsidR="357AF855">
              <w:rPr>
                <w:b w:val="1"/>
                <w:bCs w:val="1"/>
              </w:rPr>
              <w:t xml:space="preserve">ing for </w:t>
            </w:r>
            <w:r w:rsidRPr="1A6493AB" w:rsidR="051AB488">
              <w:rPr>
                <w:b w:val="1"/>
                <w:bCs w:val="1"/>
              </w:rPr>
              <w:t xml:space="preserve">clinicians </w:t>
            </w:r>
            <w:r w:rsidRPr="1A6493AB" w:rsidR="00297E3C">
              <w:rPr>
                <w:b w:val="1"/>
                <w:bCs w:val="1"/>
              </w:rPr>
              <w:t>to keep up with National Comprehensive Cancer Network (NCCN) guidelines</w:t>
            </w:r>
            <w:r w:rsidRPr="1A6493AB" w:rsidR="6B5F3FFD">
              <w:rPr>
                <w:b w:val="1"/>
                <w:bCs w:val="1"/>
              </w:rPr>
              <w:t xml:space="preserve"> for low-volume cancer</w:t>
            </w:r>
            <w:r w:rsidRPr="1A6493AB" w:rsidR="40565112">
              <w:rPr>
                <w:b w:val="1"/>
                <w:bCs w:val="1"/>
              </w:rPr>
              <w:t>s to minimize under or over-treatment</w:t>
            </w:r>
            <w:r w:rsidRPr="1A6493AB" w:rsidR="00297E3C">
              <w:rPr>
                <w:b w:val="1"/>
                <w:bCs w:val="1"/>
              </w:rPr>
              <w:t>.</w:t>
            </w:r>
          </w:p>
        </w:tc>
      </w:tr>
      <w:tr w:rsidRPr="008A7C90" w:rsidR="0048655A" w:rsidTr="1A6493AB" w14:paraId="67D435C8" w14:textId="77777777">
        <w:trPr>
          <w:trHeight w:val="870"/>
        </w:trPr>
        <w:tc>
          <w:tcPr>
            <w:tcW w:w="1975" w:type="dxa"/>
            <w:tcMar/>
          </w:tcPr>
          <w:p w:rsidRPr="008A7C90" w:rsidR="0048655A" w:rsidP="0048655A" w:rsidRDefault="0048655A" w14:paraId="351B366F" w14:textId="77777777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  <w:tcMar/>
          </w:tcPr>
          <w:p w:rsidRPr="008A7C90" w:rsidR="00297E3C" w:rsidP="00297E3C" w:rsidRDefault="00297E3C" w14:paraId="70041630" w14:textId="0D13E3CE">
            <w:pPr>
              <w:spacing w:line="259" w:lineRule="auto"/>
            </w:pPr>
            <w:r>
              <w:t>For patients with stage I seminoma, surveillance is recommended over adjuvant therapy, but at baseline in 2015, 52% of patients with testicular cancer in Kaiser Permanente Northern California (KPNC) received adjuvant therapy.</w:t>
            </w:r>
          </w:p>
        </w:tc>
      </w:tr>
      <w:tr w:rsidRPr="008A7C90" w:rsidR="0048655A" w:rsidTr="1A6493AB" w14:paraId="136E6453" w14:textId="77777777">
        <w:trPr>
          <w:trHeight w:val="262"/>
        </w:trPr>
        <w:tc>
          <w:tcPr>
            <w:tcW w:w="1975" w:type="dxa"/>
            <w:tcMar/>
          </w:tcPr>
          <w:p w:rsidRPr="008A7C90" w:rsidR="0048655A" w:rsidP="0048655A" w:rsidRDefault="0048655A" w14:paraId="53202DB8" w14:textId="77777777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  <w:tcMar/>
          </w:tcPr>
          <w:p w:rsidRPr="008A7C90" w:rsidR="0048655A" w:rsidP="0048655A" w:rsidRDefault="00297E3C" w14:paraId="1486D38C" w14:textId="5D921A04">
            <w:pPr>
              <w:spacing w:line="259" w:lineRule="auto"/>
            </w:pPr>
            <w:r>
              <w:t>Patients with a new diagnosis of testicular cancer in KPNC.</w:t>
            </w:r>
          </w:p>
        </w:tc>
      </w:tr>
      <w:tr w:rsidRPr="008A7C90" w:rsidR="0048655A" w:rsidTr="1A6493AB" w14:paraId="5B80BED5" w14:textId="77777777">
        <w:trPr>
          <w:trHeight w:val="276"/>
        </w:trPr>
        <w:tc>
          <w:tcPr>
            <w:tcW w:w="1975" w:type="dxa"/>
            <w:tcMar/>
          </w:tcPr>
          <w:p w:rsidRPr="008A7C90" w:rsidR="0048655A" w:rsidP="0048655A" w:rsidRDefault="0048655A" w14:paraId="0D0B7C0D" w14:textId="77777777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  <w:tcMar/>
          </w:tcPr>
          <w:p w:rsidRPr="008A7C90" w:rsidR="0048655A" w:rsidP="0048655A" w:rsidRDefault="00297E3C" w14:paraId="0CA2C589" w14:textId="5C0B94E5">
            <w:pPr>
              <w:spacing w:line="259" w:lineRule="auto"/>
            </w:pPr>
            <w:r>
              <w:t xml:space="preserve">Development of an algorithm for rapid case identification and </w:t>
            </w:r>
            <w:r w:rsidR="001A5375">
              <w:t>regionalized</w:t>
            </w:r>
            <w:r>
              <w:t xml:space="preserve"> </w:t>
            </w:r>
            <w:r w:rsidR="001A5375">
              <w:t xml:space="preserve">review </w:t>
            </w:r>
            <w:r>
              <w:t xml:space="preserve">of </w:t>
            </w:r>
            <w:r w:rsidR="001A5375">
              <w:t>cases with recommendations</w:t>
            </w:r>
            <w:r>
              <w:t>.</w:t>
            </w:r>
          </w:p>
        </w:tc>
      </w:tr>
      <w:tr w:rsidRPr="008A7C90" w:rsidR="0048655A" w:rsidTr="1A6493AB" w14:paraId="13978FD3" w14:textId="77777777">
        <w:trPr>
          <w:trHeight w:val="2010"/>
        </w:trPr>
        <w:tc>
          <w:tcPr>
            <w:tcW w:w="1975" w:type="dxa"/>
            <w:tcMar/>
          </w:tcPr>
          <w:p w:rsidRPr="00EF635D" w:rsidR="0048655A" w:rsidP="0048655A" w:rsidRDefault="0048655A" w14:paraId="7525D5B4" w14:textId="77777777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  <w:tcMar/>
          </w:tcPr>
          <w:p w:rsidR="000167D3" w:rsidP="0031051B" w:rsidRDefault="000167D3" w14:paraId="21446DF6" w14:textId="0669AA04">
            <w:pPr>
              <w:spacing w:line="259" w:lineRule="auto"/>
            </w:pPr>
            <w:r w:rsidRPr="1A6493AB" w:rsidR="000167D3">
              <w:rPr>
                <w:b w:val="1"/>
                <w:bCs w:val="1"/>
              </w:rPr>
              <w:t xml:space="preserve">By 2018, the case finding algorithm identified 97% of cases; 92% were reviewed by the panel.  </w:t>
            </w:r>
            <w:r w:rsidR="000167D3">
              <w:rPr/>
              <w:t xml:space="preserve">The number of patients undergoing adjuvant therapy decreased from 52% in 2015 to 13% in 2018.  </w:t>
            </w:r>
            <w:r w:rsidR="57E71278">
              <w:rPr/>
              <w:t>Panel r</w:t>
            </w:r>
            <w:r w:rsidR="000167D3">
              <w:rPr/>
              <w:t>eview change</w:t>
            </w:r>
            <w:r w:rsidR="01A73AE9">
              <w:rPr/>
              <w:t>d</w:t>
            </w:r>
            <w:r w:rsidR="000167D3">
              <w:rPr/>
              <w:t xml:space="preserve"> care plans in 19 of 131 patients (14.5%) </w:t>
            </w:r>
            <w:r w:rsidR="5E4DA8DC">
              <w:rPr/>
              <w:t>after p</w:t>
            </w:r>
            <w:r w:rsidR="000167D3">
              <w:rPr/>
              <w:t xml:space="preserve">athology and radiology re-reviews </w:t>
            </w:r>
            <w:r w:rsidR="2CA317E5">
              <w:rPr/>
              <w:t>in the first year alone</w:t>
            </w:r>
            <w:r w:rsidR="000167D3">
              <w:rPr/>
              <w:t>. Stakeholders had high levels of satisfaction with the case review.</w:t>
            </w:r>
          </w:p>
          <w:p w:rsidRPr="008A7C90" w:rsidR="000167D3" w:rsidP="1A6493AB" w:rsidRDefault="000167D3" w14:paraId="3CD35CB0" w14:textId="4AF76B38">
            <w:pPr>
              <w:pStyle w:val="Normal"/>
              <w:spacing w:line="259" w:lineRule="auto"/>
            </w:pPr>
            <w:r w:rsidR="5EA9C2EB">
              <w:rPr/>
              <w:t xml:space="preserve">    </w:t>
            </w:r>
            <w:r w:rsidR="586B449A">
              <w:rPr/>
              <w:t>Surveillance tracking was more challenging with complexities of the NCCN follow-up algorithms for testicular cancer</w:t>
            </w:r>
          </w:p>
        </w:tc>
      </w:tr>
      <w:tr w:rsidRPr="008A7C90" w:rsidR="0048655A" w:rsidTr="1A6493AB" w14:paraId="62542513" w14:textId="77777777">
        <w:trPr>
          <w:trHeight w:val="816"/>
        </w:trPr>
        <w:tc>
          <w:tcPr>
            <w:tcW w:w="1975" w:type="dxa"/>
            <w:tcMar/>
          </w:tcPr>
          <w:p w:rsidRPr="00EF635D" w:rsidR="0048655A" w:rsidP="0048655A" w:rsidRDefault="0048655A" w14:paraId="38755ADC" w14:textId="77777777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  <w:tcMar/>
          </w:tcPr>
          <w:p w:rsidRPr="00EF635D" w:rsidR="0048655A" w:rsidP="1A6493AB" w:rsidRDefault="00461BCF" w14:paraId="092B6F29" w14:textId="3B78025B">
            <w:pPr>
              <w:pStyle w:val="Normal"/>
              <w:spacing w:line="259" w:lineRule="auto"/>
            </w:pPr>
            <w:r w:rsidRPr="1A6493AB" w:rsidR="02095D2B">
              <w:rPr>
                <w:b w:val="1"/>
                <w:bCs w:val="1"/>
              </w:rPr>
              <w:t>A</w:t>
            </w:r>
            <w:r w:rsidRPr="1A6493AB" w:rsidR="00461BCF">
              <w:rPr>
                <w:b w:val="1"/>
                <w:bCs w:val="1"/>
              </w:rPr>
              <w:t xml:space="preserve">ll new cases of testicular cancer in KPNC </w:t>
            </w:r>
            <w:r w:rsidRPr="1A6493AB" w:rsidR="3665227E">
              <w:rPr>
                <w:b w:val="1"/>
                <w:bCs w:val="1"/>
              </w:rPr>
              <w:t>are now</w:t>
            </w:r>
            <w:r w:rsidRPr="1A6493AB" w:rsidR="00461BCF">
              <w:rPr>
                <w:b w:val="1"/>
                <w:bCs w:val="1"/>
              </w:rPr>
              <w:t xml:space="preserve"> reviewed by the panel with recommendations provided. There was a change in workflow so that subspecialized genitourinary pathologists review </w:t>
            </w:r>
            <w:r w:rsidRPr="1A6493AB" w:rsidR="00461BCF">
              <w:rPr>
                <w:b w:val="1"/>
                <w:bCs w:val="1"/>
              </w:rPr>
              <w:t>non</w:t>
            </w:r>
            <w:r w:rsidRPr="1A6493AB" w:rsidR="40CC4A1A">
              <w:rPr>
                <w:b w:val="1"/>
                <w:bCs w:val="1"/>
              </w:rPr>
              <w:t>-</w:t>
            </w:r>
            <w:r w:rsidRPr="1A6493AB" w:rsidR="00461BCF">
              <w:rPr>
                <w:b w:val="1"/>
                <w:bCs w:val="1"/>
              </w:rPr>
              <w:t>seminoma</w:t>
            </w:r>
            <w:r w:rsidRPr="1A6493AB" w:rsidR="00461BCF">
              <w:rPr>
                <w:b w:val="1"/>
                <w:bCs w:val="1"/>
              </w:rPr>
              <w:t xml:space="preserve"> cases. </w:t>
            </w:r>
            <w:r w:rsidRPr="1A6493AB" w:rsidR="37BDB733">
              <w:rPr>
                <w:b w:val="1"/>
                <w:bCs w:val="1"/>
              </w:rPr>
              <w:t xml:space="preserve"> </w:t>
            </w:r>
            <w:r w:rsidR="37BDB733">
              <w:rPr>
                <w:b w:val="0"/>
                <w:bCs w:val="0"/>
              </w:rPr>
              <w:t>For surveillance tracking, learnings gained from using Leavitt’s people-process technology framework is aiding re-design of surveillance tracking.</w:t>
            </w:r>
          </w:p>
        </w:tc>
      </w:tr>
      <w:tr w:rsidRPr="008A7C90" w:rsidR="00CB0455" w:rsidTr="1A6493AB" w14:paraId="57800790" w14:textId="77777777">
        <w:trPr>
          <w:trHeight w:val="816"/>
        </w:trPr>
        <w:tc>
          <w:tcPr>
            <w:tcW w:w="1975" w:type="dxa"/>
            <w:tcMar/>
          </w:tcPr>
          <w:p w:rsidRPr="00EB0401" w:rsidR="00CB0455" w:rsidP="0048655A" w:rsidRDefault="00CB0455" w14:paraId="6C4E04AC" w14:textId="161310DB">
            <w:r w:rsidRPr="00EB0401">
              <w:t>Additional Recommendations</w:t>
            </w:r>
          </w:p>
        </w:tc>
        <w:tc>
          <w:tcPr>
            <w:tcW w:w="8730" w:type="dxa"/>
            <w:tcMar/>
          </w:tcPr>
          <w:p w:rsidRPr="00692230" w:rsidR="00CB0455" w:rsidP="0048655A" w:rsidRDefault="00692230" w14:paraId="08163871" w14:textId="2EC48A2E">
            <w:pPr>
              <w:rPr>
                <w:b w:val="1"/>
                <w:bCs w:val="1"/>
              </w:rPr>
            </w:pPr>
            <w:r w:rsidRPr="1A6493AB" w:rsidR="23CB3775">
              <w:rPr>
                <w:rStyle w:val="Strong"/>
                <w:b w:val="0"/>
                <w:bCs w:val="0"/>
              </w:rPr>
              <w:t xml:space="preserve">These findings support similar regionalization efforts for rare cancers, particularly those with complex treatment and/or surveillance protocols.  </w:t>
            </w:r>
            <w:r w:rsidRPr="1A6493AB" w:rsidR="00692230">
              <w:rPr>
                <w:rStyle w:val="Strong"/>
                <w:b w:val="0"/>
                <w:bCs w:val="0"/>
              </w:rPr>
              <w:t>Learnings about implementation pitfalls can be generalized to other implementations involving regionalization of oncology</w:t>
            </w:r>
            <w:r w:rsidRPr="1A6493AB" w:rsidR="00461BCF">
              <w:rPr>
                <w:rStyle w:val="Strong"/>
                <w:b w:val="0"/>
                <w:bCs w:val="0"/>
              </w:rPr>
              <w:t>.</w:t>
            </w:r>
          </w:p>
        </w:tc>
      </w:tr>
      <w:tr w:rsidRPr="008A7C90" w:rsidR="0048655A" w:rsidTr="1A6493AB" w14:paraId="21F6FB6D" w14:textId="77777777">
        <w:trPr>
          <w:trHeight w:val="552"/>
        </w:trPr>
        <w:tc>
          <w:tcPr>
            <w:tcW w:w="1975" w:type="dxa"/>
            <w:tcMar/>
          </w:tcPr>
          <w:p w:rsidRPr="008A7C90" w:rsidR="0048655A" w:rsidP="0048655A" w:rsidRDefault="0048655A" w14:paraId="511F380C" w14:textId="77777777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  <w:tcMar/>
          </w:tcPr>
          <w:p w:rsidRPr="008A7C90" w:rsidR="0048655A" w:rsidP="0048655A" w:rsidRDefault="00461BCF" w14:paraId="35B5FEA6" w14:textId="40C50854">
            <w:pPr>
              <w:spacing w:line="259" w:lineRule="auto"/>
            </w:pPr>
            <w:r>
              <w:t xml:space="preserve">Rapid case ascertainment algorithm, templated note with templated </w:t>
            </w:r>
            <w:proofErr w:type="spellStart"/>
            <w:r>
              <w:t>dotphrases</w:t>
            </w:r>
            <w:proofErr w:type="spellEnd"/>
            <w:r>
              <w:t xml:space="preserve"> for recommendations.</w:t>
            </w:r>
          </w:p>
        </w:tc>
      </w:tr>
      <w:tr w:rsidRPr="008A7C90" w:rsidR="0048655A" w:rsidTr="1A6493AB" w14:paraId="02D4678D" w14:textId="77777777">
        <w:trPr>
          <w:trHeight w:val="552"/>
        </w:trPr>
        <w:tc>
          <w:tcPr>
            <w:tcW w:w="1975" w:type="dxa"/>
            <w:tcMar/>
          </w:tcPr>
          <w:p w:rsidRPr="008A7C90" w:rsidR="0048655A" w:rsidP="0048655A" w:rsidRDefault="0048655A" w14:paraId="1B184543" w14:textId="77777777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  <w:tcMar/>
          </w:tcPr>
          <w:p w:rsidRPr="008A7C90" w:rsidR="0048655A" w:rsidP="0048655A" w:rsidRDefault="00405535" w14:paraId="0D25EBD1" w14:textId="6ED185C9">
            <w:pPr>
              <w:spacing w:line="259" w:lineRule="auto"/>
            </w:pPr>
            <w:r w:rsidR="00405535">
              <w:rPr/>
              <w:t>Percentage of cases at case conference</w:t>
            </w:r>
            <w:r w:rsidR="7196EFFA">
              <w:rPr/>
              <w:t>;</w:t>
            </w:r>
            <w:r w:rsidR="00405535">
              <w:rPr/>
              <w:t xml:space="preserve"> stage I seminoma managed with surveillance post-orchiectomy, number of patients whose care plan was altered by case conference review.</w:t>
            </w:r>
          </w:p>
        </w:tc>
      </w:tr>
      <w:tr w:rsidRPr="008A7C90" w:rsidR="0048655A" w:rsidTr="1A6493AB" w14:paraId="66558595" w14:textId="77777777">
        <w:trPr>
          <w:trHeight w:val="538"/>
        </w:trPr>
        <w:tc>
          <w:tcPr>
            <w:tcW w:w="1975" w:type="dxa"/>
            <w:tcMar/>
          </w:tcPr>
          <w:p w:rsidRPr="008A7C90" w:rsidR="0048655A" w:rsidP="0048655A" w:rsidRDefault="0048655A" w14:paraId="29954FA9" w14:textId="77777777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  <w:tcMar/>
          </w:tcPr>
          <w:p w:rsidRPr="00774C08" w:rsidR="00774C08" w:rsidP="00774C08" w:rsidRDefault="00774C08" w14:paraId="12BE5798" w14:textId="77777777">
            <w:pPr>
              <w:spacing w:line="259" w:lineRule="auto"/>
            </w:pPr>
            <w:r w:rsidRPr="00774C08">
              <w:t>Proportion of 177 Stage 1 seminoma patients who, after orchiectomy, underwent observation rather than adjuvant chemotherapy or radiation therapy by year of diagnosis, Kaiser Permanente Northern California, 2015-18, %</w:t>
            </w:r>
          </w:p>
          <w:p w:rsidR="00774C08" w:rsidP="0048655A" w:rsidRDefault="00774C08" w14:paraId="23EADAFA" w14:textId="486AC464">
            <w:pPr>
              <w:spacing w:line="259" w:lineRule="auto"/>
            </w:pPr>
            <w:r w:rsidR="00774C08">
              <w:drawing>
                <wp:inline wp14:editId="1A6493AB" wp14:anchorId="42FD1807">
                  <wp:extent cx="2896847" cy="1737995"/>
                  <wp:effectExtent l="0" t="0" r="0" b="0"/>
                  <wp:docPr id="58" name="Picture 5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57"/>
                          <pic:cNvPicPr/>
                        </pic:nvPicPr>
                        <pic:blipFill>
                          <a:blip r:embed="R843c1398e758430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BECF7405-85B6-4CAA-8E5F-7DE6A3970109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96847" cy="173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4C08" w:rsidP="0048655A" w:rsidRDefault="00774C08" w14:paraId="151403EB" w14:textId="17898850">
            <w:pPr>
              <w:spacing w:line="259" w:lineRule="auto"/>
            </w:pPr>
            <w:r>
              <w:t>Harzstark et al, ASCO Quality Symposium 2020</w:t>
            </w:r>
          </w:p>
          <w:p w:rsidRPr="008A7C90" w:rsidR="0048655A" w:rsidP="0048655A" w:rsidRDefault="00405535" w14:paraId="722DE921" w14:textId="22BF0448">
            <w:pPr>
              <w:spacing w:line="259" w:lineRule="auto"/>
            </w:pPr>
            <w:r>
              <w:t>Publication pending, Harzstark et al, JCO CCI</w:t>
            </w:r>
            <w:r w:rsidRPr="008A7C90" w:rsidR="0048655A">
              <w:t xml:space="preserve"> </w:t>
            </w:r>
          </w:p>
        </w:tc>
      </w:tr>
      <w:bookmarkEnd w:id="1"/>
    </w:tbl>
    <w:p w:rsidR="00FE6194" w:rsidP="00C73A94" w:rsidRDefault="00FE6194" w14:paraId="62800767" w14:textId="77777777">
      <w:pPr>
        <w:spacing w:after="0"/>
      </w:pPr>
    </w:p>
    <w:sectPr w:rsidR="00FE6194" w:rsidSect="00D2453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167D3"/>
    <w:rsid w:val="000811DB"/>
    <w:rsid w:val="00141E89"/>
    <w:rsid w:val="001A5375"/>
    <w:rsid w:val="001D52BB"/>
    <w:rsid w:val="001E348B"/>
    <w:rsid w:val="00297E3C"/>
    <w:rsid w:val="002A1A00"/>
    <w:rsid w:val="0031051B"/>
    <w:rsid w:val="003D755D"/>
    <w:rsid w:val="003E27D1"/>
    <w:rsid w:val="003E34C5"/>
    <w:rsid w:val="00405535"/>
    <w:rsid w:val="00461BCF"/>
    <w:rsid w:val="0048655A"/>
    <w:rsid w:val="00514319"/>
    <w:rsid w:val="005E29BD"/>
    <w:rsid w:val="00692230"/>
    <w:rsid w:val="006D32D2"/>
    <w:rsid w:val="0072563B"/>
    <w:rsid w:val="00774C08"/>
    <w:rsid w:val="00777238"/>
    <w:rsid w:val="008131C8"/>
    <w:rsid w:val="008A7C90"/>
    <w:rsid w:val="008D2460"/>
    <w:rsid w:val="009001F2"/>
    <w:rsid w:val="009137A9"/>
    <w:rsid w:val="00933309"/>
    <w:rsid w:val="00A0480E"/>
    <w:rsid w:val="00A16BB1"/>
    <w:rsid w:val="00C3487D"/>
    <w:rsid w:val="00C4025A"/>
    <w:rsid w:val="00C73A94"/>
    <w:rsid w:val="00CB0455"/>
    <w:rsid w:val="00CF4301"/>
    <w:rsid w:val="00D003F1"/>
    <w:rsid w:val="00D24534"/>
    <w:rsid w:val="00EB0401"/>
    <w:rsid w:val="00EF635D"/>
    <w:rsid w:val="00FE6194"/>
    <w:rsid w:val="01A73AE9"/>
    <w:rsid w:val="02095D2B"/>
    <w:rsid w:val="051AB488"/>
    <w:rsid w:val="0B4BE6C0"/>
    <w:rsid w:val="126CCE39"/>
    <w:rsid w:val="1A557A28"/>
    <w:rsid w:val="1A6493AB"/>
    <w:rsid w:val="23CB3775"/>
    <w:rsid w:val="2BB07BFF"/>
    <w:rsid w:val="2CA317E5"/>
    <w:rsid w:val="3083ED22"/>
    <w:rsid w:val="30BD5087"/>
    <w:rsid w:val="357AF855"/>
    <w:rsid w:val="3665227E"/>
    <w:rsid w:val="37BDB733"/>
    <w:rsid w:val="40565112"/>
    <w:rsid w:val="40CC4A1A"/>
    <w:rsid w:val="4E551E08"/>
    <w:rsid w:val="4FB32472"/>
    <w:rsid w:val="57E71278"/>
    <w:rsid w:val="586B449A"/>
    <w:rsid w:val="5CD56F79"/>
    <w:rsid w:val="5E4DA8DC"/>
    <w:rsid w:val="5EA9C2EB"/>
    <w:rsid w:val="632B88A0"/>
    <w:rsid w:val="6344B0FD"/>
    <w:rsid w:val="6B369A85"/>
    <w:rsid w:val="6B5F3FFD"/>
    <w:rsid w:val="6CD26AE6"/>
    <w:rsid w:val="7196EFFA"/>
    <w:rsid w:val="73C027E8"/>
    <w:rsid w:val="7B54ABD5"/>
    <w:rsid w:val="7BCF079E"/>
    <w:rsid w:val="7DDC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A7C9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E2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843c1398e75843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C17B7-3510-4B72-9AD1-5196F1A807A9}"/>
</file>

<file path=customXml/itemProps2.xml><?xml version="1.0" encoding="utf-8"?>
<ds:datastoreItem xmlns:ds="http://schemas.openxmlformats.org/officeDocument/2006/customXml" ds:itemID="{AC888A28-5B10-48BE-B8D6-480C75C53C84}"/>
</file>

<file path=customXml/itemProps3.xml><?xml version="1.0" encoding="utf-8"?>
<ds:datastoreItem xmlns:ds="http://schemas.openxmlformats.org/officeDocument/2006/customXml" ds:itemID="{422B8E45-4B7B-44CA-883D-6EABF409C3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Douglas A Corley</cp:lastModifiedBy>
  <cp:revision>3</cp:revision>
  <dcterms:created xsi:type="dcterms:W3CDTF">2021-01-11T04:47:00Z</dcterms:created>
  <dcterms:modified xsi:type="dcterms:W3CDTF">2021-03-15T00:55:17Z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