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B10EA" w14:textId="101A3359" w:rsidR="00245565" w:rsidRPr="005A17F0" w:rsidRDefault="007823E9" w:rsidP="008E6D2C">
      <w:pPr>
        <w:rPr>
          <w:rFonts w:asciiTheme="majorHAnsi" w:eastAsia="Calibri" w:hAnsiTheme="majorHAnsi" w:cstheme="majorHAnsi"/>
        </w:rPr>
      </w:pPr>
      <w:r>
        <w:rPr>
          <w:rFonts w:asciiTheme="majorHAnsi" w:eastAsia="Calibri" w:hAnsiTheme="majorHAnsi" w:cstheme="majorHAnsi"/>
        </w:rPr>
        <w:t xml:space="preserve">Delivery Science Grants Program </w:t>
      </w:r>
    </w:p>
    <w:p w14:paraId="2C81B6CD" w14:textId="77777777" w:rsidR="000D2A5B" w:rsidRDefault="000D2A5B" w:rsidP="00D24534">
      <w:pPr>
        <w:spacing w:after="0"/>
        <w:rPr>
          <w:rFonts w:ascii="Calibri" w:eastAsia="Calibri" w:hAnsi="Calibri" w:cs="Calibri"/>
          <w:color w:val="4472C4" w:themeColor="accent1"/>
          <w:sz w:val="28"/>
          <w:szCs w:val="28"/>
        </w:rPr>
      </w:pPr>
      <w:r w:rsidRPr="000D2A5B">
        <w:rPr>
          <w:rFonts w:ascii="Calibri" w:eastAsia="Calibri" w:hAnsi="Calibri" w:cs="Calibri"/>
          <w:color w:val="4472C4" w:themeColor="accent1"/>
          <w:sz w:val="28"/>
          <w:szCs w:val="28"/>
        </w:rPr>
        <w:t>Identifying Surgical Timing to Optimize Outcomes for Early-Stage Lung Cancer Surgery</w:t>
      </w:r>
    </w:p>
    <w:p w14:paraId="7D76C285" w14:textId="347DA7AF" w:rsidR="00BA2786" w:rsidRDefault="000D2A5B" w:rsidP="000D2A5B">
      <w:pPr>
        <w:spacing w:after="0"/>
      </w:pPr>
      <w:r>
        <w:t xml:space="preserve">Kian C. Banks, MD; Jennifer R. </w:t>
      </w:r>
      <w:proofErr w:type="spellStart"/>
      <w:r>
        <w:t>Dusendang</w:t>
      </w:r>
      <w:proofErr w:type="spellEnd"/>
      <w:r>
        <w:t xml:space="preserve">, MPH; Julie A. Schmittdiel, PhD, MA; Diana S. Hsu, MD; Simon K. </w:t>
      </w:r>
      <w:proofErr w:type="spellStart"/>
      <w:r>
        <w:t>Ashiku</w:t>
      </w:r>
      <w:proofErr w:type="spellEnd"/>
      <w:r>
        <w:t>, MD; Ashish R. Patel, MD; Lori C. Sakoda, MPH, PhD; Jeffrey B. Velotta, MD</w:t>
      </w:r>
    </w:p>
    <w:tbl>
      <w:tblPr>
        <w:tblStyle w:val="TableGrid"/>
        <w:tblpPr w:leftFromText="180" w:rightFromText="180" w:vertAnchor="page" w:horzAnchor="margin" w:tblpY="2581"/>
        <w:tblW w:w="10705" w:type="dxa"/>
        <w:tblLook w:val="04A0" w:firstRow="1" w:lastRow="0" w:firstColumn="1" w:lastColumn="0" w:noHBand="0" w:noVBand="1"/>
      </w:tblPr>
      <w:tblGrid>
        <w:gridCol w:w="1975"/>
        <w:gridCol w:w="8730"/>
      </w:tblGrid>
      <w:tr w:rsidR="008E6D2C" w:rsidRPr="008E6D2C" w14:paraId="307289BF" w14:textId="77777777" w:rsidTr="00C73A94">
        <w:trPr>
          <w:trHeight w:val="816"/>
        </w:trPr>
        <w:tc>
          <w:tcPr>
            <w:tcW w:w="1975" w:type="dxa"/>
          </w:tcPr>
          <w:p w14:paraId="2C7E2D09" w14:textId="77777777" w:rsidR="0048655A" w:rsidRPr="008E6D2C" w:rsidRDefault="0048655A" w:rsidP="0048655A">
            <w:pPr>
              <w:spacing w:line="259" w:lineRule="auto"/>
            </w:pPr>
            <w:bookmarkStart w:id="0" w:name="_Hlk54105970"/>
            <w:r w:rsidRPr="008E6D2C">
              <w:t>Challenge</w:t>
            </w:r>
          </w:p>
        </w:tc>
        <w:tc>
          <w:tcPr>
            <w:tcW w:w="8730" w:type="dxa"/>
          </w:tcPr>
          <w:p w14:paraId="7F9273D4" w14:textId="24D41B31" w:rsidR="0048655A" w:rsidRPr="008E6D2C" w:rsidRDefault="000D2A5B" w:rsidP="0048655A">
            <w:pPr>
              <w:spacing w:line="259" w:lineRule="auto"/>
              <w:rPr>
                <w:b/>
                <w:bCs/>
              </w:rPr>
            </w:pPr>
            <w:r w:rsidRPr="000D2A5B">
              <w:rPr>
                <w:b/>
                <w:bCs/>
              </w:rPr>
              <w:t>National guidelines recommend large-scale lung cancer screening among at-risk patients and KPNC has instituted programs to fulfill this goal. However, the ideal time to surgery for early-stage lung cancer is unknown, including if currently recommended minimal diagnosis-to-surgery time recommendations accurately decrease the risk of stage progression.</w:t>
            </w:r>
          </w:p>
        </w:tc>
      </w:tr>
      <w:tr w:rsidR="008E6D2C" w:rsidRPr="008E6D2C" w14:paraId="67D435C8" w14:textId="77777777" w:rsidTr="00C73A94">
        <w:trPr>
          <w:trHeight w:val="1091"/>
        </w:trPr>
        <w:tc>
          <w:tcPr>
            <w:tcW w:w="1975" w:type="dxa"/>
          </w:tcPr>
          <w:p w14:paraId="351B366F" w14:textId="77777777" w:rsidR="0048655A" w:rsidRPr="008E6D2C" w:rsidRDefault="0048655A" w:rsidP="0048655A">
            <w:pPr>
              <w:spacing w:line="259" w:lineRule="auto"/>
            </w:pPr>
            <w:r w:rsidRPr="008E6D2C">
              <w:t>Existing Evidence</w:t>
            </w:r>
          </w:p>
        </w:tc>
        <w:tc>
          <w:tcPr>
            <w:tcW w:w="8730" w:type="dxa"/>
          </w:tcPr>
          <w:p w14:paraId="70041630" w14:textId="360DDC6F" w:rsidR="0048655A" w:rsidRPr="008E6D2C" w:rsidRDefault="002F2000" w:rsidP="0048655A">
            <w:pPr>
              <w:spacing w:line="259" w:lineRule="auto"/>
            </w:pPr>
            <w:r w:rsidRPr="002F2000">
              <w:t>The time between lung cancer diagnosis by radiologic imaging and subsequent surgical resection varies widely. This variation is influenced by the need for additional work-up, patient preference, and operative scheduling. Few studies have evaluated if there is an optimal minimum time to surgery, beyond which there is an increased risk of recurrence or stage progression to inform patients, providers, and large-scale lung cancer screening programs.</w:t>
            </w:r>
          </w:p>
        </w:tc>
      </w:tr>
      <w:tr w:rsidR="008E6D2C" w:rsidRPr="008E6D2C" w14:paraId="136E6453" w14:textId="77777777" w:rsidTr="00C73A94">
        <w:trPr>
          <w:trHeight w:val="262"/>
        </w:trPr>
        <w:tc>
          <w:tcPr>
            <w:tcW w:w="1975" w:type="dxa"/>
          </w:tcPr>
          <w:p w14:paraId="53202DB8" w14:textId="77777777" w:rsidR="0048655A" w:rsidRPr="008E6D2C" w:rsidRDefault="0048655A" w:rsidP="0048655A">
            <w:pPr>
              <w:spacing w:line="259" w:lineRule="auto"/>
            </w:pPr>
            <w:r w:rsidRPr="008E6D2C">
              <w:t>Target Population</w:t>
            </w:r>
          </w:p>
        </w:tc>
        <w:tc>
          <w:tcPr>
            <w:tcW w:w="8730" w:type="dxa"/>
          </w:tcPr>
          <w:p w14:paraId="1486D38C" w14:textId="534A8748" w:rsidR="0048655A" w:rsidRPr="008E6D2C" w:rsidRDefault="002F2000" w:rsidP="00900EFE">
            <w:pPr>
              <w:spacing w:line="259" w:lineRule="auto"/>
            </w:pPr>
            <w:r w:rsidRPr="002F2000">
              <w:t>Stage I or II lung cancer patients aged 18 to 85 years undergoing elective surgery who had CT or PET imaging within six months prior to surgery</w:t>
            </w:r>
          </w:p>
        </w:tc>
      </w:tr>
      <w:tr w:rsidR="008E6D2C" w:rsidRPr="008E6D2C" w14:paraId="5B80BED5" w14:textId="77777777" w:rsidTr="00C73A94">
        <w:trPr>
          <w:trHeight w:val="276"/>
        </w:trPr>
        <w:tc>
          <w:tcPr>
            <w:tcW w:w="1975" w:type="dxa"/>
          </w:tcPr>
          <w:p w14:paraId="0D0B7C0D" w14:textId="77777777" w:rsidR="0048655A" w:rsidRPr="008E6D2C" w:rsidRDefault="0048655A" w:rsidP="0048655A">
            <w:pPr>
              <w:spacing w:line="259" w:lineRule="auto"/>
            </w:pPr>
            <w:r w:rsidRPr="008E6D2C">
              <w:t>Intervention or Exposure</w:t>
            </w:r>
          </w:p>
        </w:tc>
        <w:tc>
          <w:tcPr>
            <w:tcW w:w="8730" w:type="dxa"/>
          </w:tcPr>
          <w:p w14:paraId="0CA2C589" w14:textId="52C9C789" w:rsidR="0048655A" w:rsidRPr="008E6D2C" w:rsidRDefault="002F2000" w:rsidP="0048655A">
            <w:pPr>
              <w:spacing w:line="259" w:lineRule="auto"/>
            </w:pPr>
            <w:r w:rsidRPr="002F2000">
              <w:t>Time from last CT or PET scan to surgery (TTS)</w:t>
            </w:r>
          </w:p>
        </w:tc>
      </w:tr>
      <w:tr w:rsidR="008E6D2C" w:rsidRPr="008E6D2C" w14:paraId="13978FD3" w14:textId="77777777" w:rsidTr="001C386F">
        <w:trPr>
          <w:trHeight w:val="1478"/>
        </w:trPr>
        <w:tc>
          <w:tcPr>
            <w:tcW w:w="1975" w:type="dxa"/>
          </w:tcPr>
          <w:p w14:paraId="7525D5B4" w14:textId="77777777" w:rsidR="0048655A" w:rsidRPr="008E6D2C" w:rsidRDefault="0048655A" w:rsidP="0048655A">
            <w:pPr>
              <w:spacing w:line="259" w:lineRule="auto"/>
              <w:rPr>
                <w:b/>
                <w:bCs/>
              </w:rPr>
            </w:pPr>
            <w:r w:rsidRPr="008E6D2C">
              <w:rPr>
                <w:b/>
                <w:bCs/>
              </w:rPr>
              <w:t>Outcomes/Key Findings</w:t>
            </w:r>
          </w:p>
        </w:tc>
        <w:tc>
          <w:tcPr>
            <w:tcW w:w="8730" w:type="dxa"/>
          </w:tcPr>
          <w:p w14:paraId="24207139" w14:textId="77777777" w:rsidR="002F2000" w:rsidRDefault="002F2000" w:rsidP="002F2000">
            <w:r>
              <w:t>Early-stage lung cancer patients with a time to surgery within 4 weeks experienced:</w:t>
            </w:r>
          </w:p>
          <w:p w14:paraId="0BA46F60" w14:textId="77777777" w:rsidR="002F2000" w:rsidRDefault="002F2000" w:rsidP="002F2000">
            <w:r>
              <w:t>• lower rates of death (HR 1.18, 95% CI 1.00-1.39) and</w:t>
            </w:r>
          </w:p>
          <w:p w14:paraId="3CD35CB0" w14:textId="3E517D48" w:rsidR="0048655A" w:rsidRPr="008E6D2C" w:rsidRDefault="002F2000" w:rsidP="002F2000">
            <w:pPr>
              <w:spacing w:line="259" w:lineRule="auto"/>
            </w:pPr>
            <w:r>
              <w:t>• lower rates of cancer recurrence (HR 1.33, 95% CI 1.10-1.62). This suggests the maximum time to surgical resection after lung cancer diagnosis to optimize outcomes may be much shorter than previously recommended, though longer than current KPNC targets of within 2 weeks, which can be difficult to operationally achieve.</w:t>
            </w:r>
          </w:p>
        </w:tc>
      </w:tr>
      <w:tr w:rsidR="008E6D2C" w:rsidRPr="008E6D2C" w14:paraId="62542513" w14:textId="77777777" w:rsidTr="002C51D1">
        <w:trPr>
          <w:trHeight w:val="947"/>
        </w:trPr>
        <w:tc>
          <w:tcPr>
            <w:tcW w:w="1975" w:type="dxa"/>
          </w:tcPr>
          <w:p w14:paraId="38755ADC" w14:textId="77777777" w:rsidR="0048655A" w:rsidRPr="008E6D2C" w:rsidRDefault="0048655A" w:rsidP="0048655A">
            <w:pPr>
              <w:spacing w:line="259" w:lineRule="auto"/>
              <w:rPr>
                <w:b/>
                <w:bCs/>
              </w:rPr>
            </w:pPr>
            <w:r w:rsidRPr="008E6D2C">
              <w:rPr>
                <w:b/>
                <w:bCs/>
              </w:rPr>
              <w:t>Resulting Action/Change</w:t>
            </w:r>
          </w:p>
        </w:tc>
        <w:tc>
          <w:tcPr>
            <w:tcW w:w="8730" w:type="dxa"/>
          </w:tcPr>
          <w:p w14:paraId="092B6F29" w14:textId="53AFF6B6" w:rsidR="0048655A" w:rsidRPr="008E6D2C" w:rsidRDefault="002C51D1" w:rsidP="001C386F">
            <w:pPr>
              <w:rPr>
                <w:b/>
                <w:bCs/>
              </w:rPr>
            </w:pPr>
            <w:r w:rsidRPr="002C51D1">
              <w:rPr>
                <w:b/>
                <w:bCs/>
              </w:rPr>
              <w:t>Informed value-based care to not proceed with a planned large, complex intervention that would have required &gt;10 pharmacist equivalent positions and complex coordination between pharmacy and adult &amp; family medicine for full implementation.</w:t>
            </w:r>
          </w:p>
        </w:tc>
      </w:tr>
      <w:tr w:rsidR="008E6D2C" w:rsidRPr="008E6D2C" w14:paraId="57800790" w14:textId="77777777" w:rsidTr="002C51D1">
        <w:trPr>
          <w:trHeight w:val="632"/>
        </w:trPr>
        <w:tc>
          <w:tcPr>
            <w:tcW w:w="1975" w:type="dxa"/>
          </w:tcPr>
          <w:p w14:paraId="6C4E04AC" w14:textId="161310DB" w:rsidR="00CB0455" w:rsidRPr="008E6D2C" w:rsidRDefault="00CB0455" w:rsidP="0048655A">
            <w:r w:rsidRPr="008E6D2C">
              <w:t>Additional Recommendations</w:t>
            </w:r>
          </w:p>
        </w:tc>
        <w:tc>
          <w:tcPr>
            <w:tcW w:w="8730" w:type="dxa"/>
          </w:tcPr>
          <w:p w14:paraId="08163871" w14:textId="7447C4A3" w:rsidR="00CB0455" w:rsidRPr="008E6D2C" w:rsidRDefault="002C51D1" w:rsidP="006F2BC7">
            <w:r w:rsidRPr="002C51D1">
              <w:t>Pragmatic trials prior to full implementation are feasible and have clear benefit in understanding effectiveness and to evaluate for potential unanticipated harms.</w:t>
            </w:r>
          </w:p>
        </w:tc>
      </w:tr>
      <w:tr w:rsidR="008E6D2C" w:rsidRPr="008E6D2C" w14:paraId="21F6FB6D" w14:textId="77777777" w:rsidTr="00C73A94">
        <w:trPr>
          <w:trHeight w:val="552"/>
        </w:trPr>
        <w:tc>
          <w:tcPr>
            <w:tcW w:w="1975" w:type="dxa"/>
          </w:tcPr>
          <w:p w14:paraId="511F380C" w14:textId="77777777" w:rsidR="0048655A" w:rsidRPr="008E6D2C" w:rsidRDefault="0048655A" w:rsidP="0048655A">
            <w:pPr>
              <w:spacing w:line="259" w:lineRule="auto"/>
            </w:pPr>
            <w:r w:rsidRPr="008E6D2C">
              <w:t>Implementation Tools</w:t>
            </w:r>
            <w:r w:rsidRPr="008E6D2C">
              <w:tab/>
            </w:r>
          </w:p>
        </w:tc>
        <w:tc>
          <w:tcPr>
            <w:tcW w:w="8730" w:type="dxa"/>
          </w:tcPr>
          <w:p w14:paraId="35B5FEA6" w14:textId="5638D904" w:rsidR="0048655A" w:rsidRPr="008E6D2C" w:rsidRDefault="002C51D1" w:rsidP="0048655A">
            <w:pPr>
              <w:spacing w:line="259" w:lineRule="auto"/>
            </w:pPr>
            <w:r w:rsidRPr="002C51D1">
              <w:t>Drug protocols, medication discontinuation/continuation guidelines for disease-specific essential conditions, monitoring protocols/variables for adverse effects</w:t>
            </w:r>
          </w:p>
        </w:tc>
      </w:tr>
      <w:tr w:rsidR="008E6D2C" w:rsidRPr="008E6D2C" w14:paraId="02D4678D" w14:textId="77777777" w:rsidTr="00C73A94">
        <w:trPr>
          <w:trHeight w:val="552"/>
        </w:trPr>
        <w:tc>
          <w:tcPr>
            <w:tcW w:w="1975" w:type="dxa"/>
          </w:tcPr>
          <w:p w14:paraId="1B184543" w14:textId="77777777" w:rsidR="0048655A" w:rsidRPr="008E6D2C" w:rsidRDefault="0048655A" w:rsidP="0048655A">
            <w:pPr>
              <w:spacing w:line="259" w:lineRule="auto"/>
            </w:pPr>
            <w:r w:rsidRPr="008E6D2C">
              <w:t>Implementation Measurement</w:t>
            </w:r>
          </w:p>
        </w:tc>
        <w:tc>
          <w:tcPr>
            <w:tcW w:w="8730" w:type="dxa"/>
          </w:tcPr>
          <w:p w14:paraId="0D25EBD1" w14:textId="78A64086" w:rsidR="0048655A" w:rsidRPr="008E6D2C" w:rsidRDefault="002C51D1" w:rsidP="006F2BC7">
            <w:r w:rsidRPr="002C51D1">
              <w:t>Drug protocols, medication discontinuation/continuation guidelines for disease-specific essential conditions, monitoring protocols/variables for adverse effects</w:t>
            </w:r>
          </w:p>
        </w:tc>
      </w:tr>
      <w:tr w:rsidR="008E6D2C" w:rsidRPr="008E6D2C" w14:paraId="66558595" w14:textId="77777777" w:rsidTr="00C73A94">
        <w:trPr>
          <w:trHeight w:val="538"/>
        </w:trPr>
        <w:tc>
          <w:tcPr>
            <w:tcW w:w="1975" w:type="dxa"/>
          </w:tcPr>
          <w:p w14:paraId="29954FA9" w14:textId="77777777" w:rsidR="0048655A" w:rsidRPr="008E6D2C" w:rsidRDefault="0048655A" w:rsidP="0048655A">
            <w:pPr>
              <w:spacing w:line="259" w:lineRule="auto"/>
            </w:pPr>
            <w:r w:rsidRPr="008E6D2C">
              <w:t>Reference</w:t>
            </w:r>
          </w:p>
        </w:tc>
        <w:tc>
          <w:tcPr>
            <w:tcW w:w="8730" w:type="dxa"/>
          </w:tcPr>
          <w:p w14:paraId="517DDDB7" w14:textId="77777777" w:rsidR="00F769B9" w:rsidRDefault="007823E9" w:rsidP="00F769B9">
            <w:pPr>
              <w:rPr>
                <w:rFonts w:ascii="Calibri" w:hAnsi="Calibri" w:cs="Calibri"/>
                <w:color w:val="0563C1"/>
                <w:u w:val="single"/>
              </w:rPr>
            </w:pPr>
            <w:hyperlink r:id="rId8" w:history="1">
              <w:r w:rsidR="00F769B9">
                <w:rPr>
                  <w:rStyle w:val="Hyperlink"/>
                  <w:rFonts w:ascii="Calibri" w:hAnsi="Calibri" w:cs="Calibri"/>
                </w:rPr>
                <w:t>https://pubmed.ncbi.nlm.nih.gov/37428504/</w:t>
              </w:r>
            </w:hyperlink>
          </w:p>
          <w:p w14:paraId="722DE921" w14:textId="650F2072" w:rsidR="0048655A" w:rsidRPr="008E6D2C" w:rsidRDefault="005C078D" w:rsidP="0048655A">
            <w:pPr>
              <w:spacing w:line="259" w:lineRule="auto"/>
            </w:pPr>
            <w:r>
              <w:rPr>
                <w:noProof/>
              </w:rPr>
              <w:lastRenderedPageBreak/>
              <w:drawing>
                <wp:inline distT="0" distB="0" distL="0" distR="0" wp14:anchorId="105CAE0D" wp14:editId="0A79EC59">
                  <wp:extent cx="3786505" cy="2982182"/>
                  <wp:effectExtent l="0" t="0" r="4445" b="8890"/>
                  <wp:docPr id="3" name="Picture 3" descr="A graph of a patient's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aph of a patient's health&#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3804802" cy="2996592"/>
                          </a:xfrm>
                          <a:prstGeom prst="rect">
                            <a:avLst/>
                          </a:prstGeom>
                        </pic:spPr>
                      </pic:pic>
                    </a:graphicData>
                  </a:graphic>
                </wp:inline>
              </w:drawing>
            </w:r>
            <w:r w:rsidR="00CF0025">
              <w:br/>
            </w:r>
          </w:p>
        </w:tc>
      </w:tr>
      <w:bookmarkEnd w:id="0"/>
    </w:tbl>
    <w:p w14:paraId="62800767" w14:textId="77777777" w:rsidR="00FE6194" w:rsidRDefault="00FE6194" w:rsidP="00C73A94">
      <w:pPr>
        <w:spacing w:after="0"/>
      </w:pPr>
    </w:p>
    <w:sectPr w:rsidR="00FE6194" w:rsidSect="00D245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4216B"/>
    <w:multiLevelType w:val="hybridMultilevel"/>
    <w:tmpl w:val="6C76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7D0BEF"/>
    <w:multiLevelType w:val="hybridMultilevel"/>
    <w:tmpl w:val="1F64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455843"/>
    <w:multiLevelType w:val="hybridMultilevel"/>
    <w:tmpl w:val="101A04F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90"/>
    <w:rsid w:val="000811DB"/>
    <w:rsid w:val="000D2A5B"/>
    <w:rsid w:val="00195B48"/>
    <w:rsid w:val="001C386F"/>
    <w:rsid w:val="001D52BB"/>
    <w:rsid w:val="001E348B"/>
    <w:rsid w:val="00216BB8"/>
    <w:rsid w:val="00231188"/>
    <w:rsid w:val="00245565"/>
    <w:rsid w:val="00247F2C"/>
    <w:rsid w:val="0025283F"/>
    <w:rsid w:val="002A1A00"/>
    <w:rsid w:val="002C51D1"/>
    <w:rsid w:val="002F2000"/>
    <w:rsid w:val="0031051B"/>
    <w:rsid w:val="00397E32"/>
    <w:rsid w:val="003D2210"/>
    <w:rsid w:val="003D755D"/>
    <w:rsid w:val="003E27D1"/>
    <w:rsid w:val="003E34C5"/>
    <w:rsid w:val="003F7BA4"/>
    <w:rsid w:val="0048655A"/>
    <w:rsid w:val="00514319"/>
    <w:rsid w:val="00557DE5"/>
    <w:rsid w:val="005A17F0"/>
    <w:rsid w:val="005C078D"/>
    <w:rsid w:val="00622747"/>
    <w:rsid w:val="006B34BA"/>
    <w:rsid w:val="006D32D2"/>
    <w:rsid w:val="006F2BC7"/>
    <w:rsid w:val="0072563B"/>
    <w:rsid w:val="00777238"/>
    <w:rsid w:val="007823E9"/>
    <w:rsid w:val="007A4365"/>
    <w:rsid w:val="008000FA"/>
    <w:rsid w:val="008131C8"/>
    <w:rsid w:val="0084241E"/>
    <w:rsid w:val="00871F97"/>
    <w:rsid w:val="008A7C90"/>
    <w:rsid w:val="008E6D2C"/>
    <w:rsid w:val="009001F2"/>
    <w:rsid w:val="00900EFE"/>
    <w:rsid w:val="00933309"/>
    <w:rsid w:val="0093550C"/>
    <w:rsid w:val="009F506C"/>
    <w:rsid w:val="00A16BB1"/>
    <w:rsid w:val="00A459FA"/>
    <w:rsid w:val="00B00B99"/>
    <w:rsid w:val="00BA2786"/>
    <w:rsid w:val="00BF6CF1"/>
    <w:rsid w:val="00C21795"/>
    <w:rsid w:val="00C3487D"/>
    <w:rsid w:val="00C4025A"/>
    <w:rsid w:val="00C73A94"/>
    <w:rsid w:val="00C867C1"/>
    <w:rsid w:val="00CB0455"/>
    <w:rsid w:val="00CB3C28"/>
    <w:rsid w:val="00CF0025"/>
    <w:rsid w:val="00CF4301"/>
    <w:rsid w:val="00D003F1"/>
    <w:rsid w:val="00D24534"/>
    <w:rsid w:val="00E64F39"/>
    <w:rsid w:val="00E8740F"/>
    <w:rsid w:val="00EB0401"/>
    <w:rsid w:val="00ED3295"/>
    <w:rsid w:val="00EF635D"/>
    <w:rsid w:val="00EF6EE1"/>
    <w:rsid w:val="00F769B9"/>
    <w:rsid w:val="00F91EB4"/>
    <w:rsid w:val="00FE4913"/>
    <w:rsid w:val="00FE6194"/>
    <w:rsid w:val="00FE6F0A"/>
    <w:rsid w:val="0B4BE6C0"/>
    <w:rsid w:val="1A557A28"/>
    <w:rsid w:val="30BD5087"/>
    <w:rsid w:val="4E551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87FD"/>
  <w15:chartTrackingRefBased/>
  <w15:docId w15:val="{9FC22822-AC04-437A-95FB-02AB6792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C90"/>
  </w:style>
  <w:style w:type="paragraph" w:styleId="Heading1">
    <w:name w:val="heading 1"/>
    <w:basedOn w:val="Normal"/>
    <w:next w:val="Normal"/>
    <w:link w:val="Heading1Char"/>
    <w:uiPriority w:val="9"/>
    <w:qFormat/>
    <w:rsid w:val="008A7C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C9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A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7C90"/>
    <w:rPr>
      <w:color w:val="0563C1" w:themeColor="hyperlink"/>
      <w:u w:val="single"/>
    </w:rPr>
  </w:style>
  <w:style w:type="character" w:styleId="UnresolvedMention">
    <w:name w:val="Unresolved Mention"/>
    <w:basedOn w:val="DefaultParagraphFont"/>
    <w:uiPriority w:val="99"/>
    <w:semiHidden/>
    <w:unhideWhenUsed/>
    <w:rsid w:val="008A7C90"/>
    <w:rPr>
      <w:color w:val="605E5C"/>
      <w:shd w:val="clear" w:color="auto" w:fill="E1DFDD"/>
    </w:rPr>
  </w:style>
  <w:style w:type="paragraph" w:styleId="ListParagraph">
    <w:name w:val="List Paragraph"/>
    <w:basedOn w:val="Normal"/>
    <w:uiPriority w:val="34"/>
    <w:qFormat/>
    <w:rsid w:val="00871F97"/>
    <w:pPr>
      <w:spacing w:after="0" w:line="240" w:lineRule="auto"/>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9619">
      <w:bodyDiv w:val="1"/>
      <w:marLeft w:val="0"/>
      <w:marRight w:val="0"/>
      <w:marTop w:val="0"/>
      <w:marBottom w:val="0"/>
      <w:divBdr>
        <w:top w:val="none" w:sz="0" w:space="0" w:color="auto"/>
        <w:left w:val="none" w:sz="0" w:space="0" w:color="auto"/>
        <w:bottom w:val="none" w:sz="0" w:space="0" w:color="auto"/>
        <w:right w:val="none" w:sz="0" w:space="0" w:color="auto"/>
      </w:divBdr>
    </w:div>
    <w:div w:id="454983676">
      <w:bodyDiv w:val="1"/>
      <w:marLeft w:val="0"/>
      <w:marRight w:val="0"/>
      <w:marTop w:val="0"/>
      <w:marBottom w:val="0"/>
      <w:divBdr>
        <w:top w:val="none" w:sz="0" w:space="0" w:color="auto"/>
        <w:left w:val="none" w:sz="0" w:space="0" w:color="auto"/>
        <w:bottom w:val="none" w:sz="0" w:space="0" w:color="auto"/>
        <w:right w:val="none" w:sz="0" w:space="0" w:color="auto"/>
      </w:divBdr>
    </w:div>
    <w:div w:id="769273137">
      <w:bodyDiv w:val="1"/>
      <w:marLeft w:val="0"/>
      <w:marRight w:val="0"/>
      <w:marTop w:val="0"/>
      <w:marBottom w:val="0"/>
      <w:divBdr>
        <w:top w:val="none" w:sz="0" w:space="0" w:color="auto"/>
        <w:left w:val="none" w:sz="0" w:space="0" w:color="auto"/>
        <w:bottom w:val="none" w:sz="0" w:space="0" w:color="auto"/>
        <w:right w:val="none" w:sz="0" w:space="0" w:color="auto"/>
      </w:divBdr>
    </w:div>
    <w:div w:id="1557474755">
      <w:bodyDiv w:val="1"/>
      <w:marLeft w:val="0"/>
      <w:marRight w:val="0"/>
      <w:marTop w:val="0"/>
      <w:marBottom w:val="0"/>
      <w:divBdr>
        <w:top w:val="none" w:sz="0" w:space="0" w:color="auto"/>
        <w:left w:val="none" w:sz="0" w:space="0" w:color="auto"/>
        <w:bottom w:val="none" w:sz="0" w:space="0" w:color="auto"/>
        <w:right w:val="none" w:sz="0" w:space="0" w:color="auto"/>
      </w:divBdr>
    </w:div>
    <w:div w:id="185776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742850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A7FAD6358FF44797152258F9FF7A83" ma:contentTypeVersion="1" ma:contentTypeDescription="Create a new document." ma:contentTypeScope="" ma:versionID="fe005cc003bb5b4080769400e5f53134">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2B8E45-4B7B-44CA-883D-6EABF409C33D}">
  <ds:schemaRefs>
    <ds:schemaRef ds:uri="http://schemas.microsoft.com/sharepoint/v3/contenttype/forms"/>
  </ds:schemaRefs>
</ds:datastoreItem>
</file>

<file path=customXml/itemProps2.xml><?xml version="1.0" encoding="utf-8"?>
<ds:datastoreItem xmlns:ds="http://schemas.openxmlformats.org/officeDocument/2006/customXml" ds:itemID="{19B9A429-C6DC-4042-929D-A4AB1AD6E264}"/>
</file>

<file path=customXml/itemProps3.xml><?xml version="1.0" encoding="utf-8"?>
<ds:datastoreItem xmlns:ds="http://schemas.openxmlformats.org/officeDocument/2006/customXml" ds:itemID="{AC888A28-5B10-48BE-B8D6-480C75C53C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Cimone E Parker</dc:creator>
  <cp:keywords/>
  <dc:description/>
  <cp:lastModifiedBy>Natalie Au</cp:lastModifiedBy>
  <cp:revision>9</cp:revision>
  <dcterms:created xsi:type="dcterms:W3CDTF">2024-01-17T18:59:00Z</dcterms:created>
  <dcterms:modified xsi:type="dcterms:W3CDTF">2024-01-29T23:06:00Z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0x0101000FA7FAD6358FF44797152258F9FF7A83</vt:lpwstr>
  </property>
</Properties>
</file>