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 mc:Ignorable="w14 w15 w16se w16cid wp14">
  <w:body>
    <w:p w:rsidRPr="0079334F" w:rsidR="1A557A28" w:rsidP="0079334F" w:rsidRDefault="0079334F" w14:paraId="122812DC" w14:textId="19B1F1D9">
      <w:pPr>
        <w:spacing w:after="0" w:line="240" w:lineRule="auto"/>
        <w:rPr>
          <w:rFonts w:ascii="Calibri" w:hAnsi="Calibri" w:eastAsia="Calibri" w:cs="Calibri"/>
          <w:color w:val="4472C4" w:themeColor="accent1"/>
          <w:sz w:val="28"/>
          <w:szCs w:val="28"/>
        </w:rPr>
      </w:pPr>
      <w:r w:rsidRPr="0079334F">
        <w:rPr>
          <w:rFonts w:ascii="Calibri" w:hAnsi="Calibri" w:eastAsia="Calibri" w:cs="Calibri"/>
          <w:color w:val="4472C4" w:themeColor="accent1"/>
          <w:sz w:val="28"/>
          <w:szCs w:val="28"/>
        </w:rPr>
        <w:t>Implementing</w:t>
      </w:r>
      <w:r w:rsidRPr="0079334F" w:rsidR="00784B91">
        <w:rPr>
          <w:rFonts w:ascii="Calibri" w:hAnsi="Calibri" w:eastAsia="Calibri" w:cs="Calibri"/>
          <w:color w:val="4472C4" w:themeColor="accent1"/>
          <w:sz w:val="28"/>
          <w:szCs w:val="28"/>
        </w:rPr>
        <w:t xml:space="preserve"> </w:t>
      </w:r>
      <w:r w:rsidRPr="0079334F">
        <w:rPr>
          <w:color w:val="4472C4" w:themeColor="accent1"/>
          <w:sz w:val="28"/>
          <w:szCs w:val="28"/>
        </w:rPr>
        <w:t>automated electronic collection of patient-reported outcomes</w:t>
      </w:r>
      <w:r>
        <w:rPr>
          <w:color w:val="4472C4" w:themeColor="accent1"/>
          <w:sz w:val="28"/>
          <w:szCs w:val="28"/>
        </w:rPr>
        <w:t xml:space="preserve"> (PRO</w:t>
      </w:r>
      <w:bookmarkStart w:name="_GoBack" w:id="0"/>
      <w:bookmarkEnd w:id="0"/>
      <w:r>
        <w:rPr>
          <w:color w:val="4472C4" w:themeColor="accent1"/>
          <w:sz w:val="28"/>
          <w:szCs w:val="28"/>
        </w:rPr>
        <w:t>)</w:t>
      </w:r>
      <w:r w:rsidRPr="0079334F">
        <w:rPr>
          <w:color w:val="4472C4" w:themeColor="accent1"/>
          <w:sz w:val="28"/>
          <w:szCs w:val="28"/>
        </w:rPr>
        <w:t xml:space="preserve"> in patients with head and neck cancer may improve patient survival, satisfaction, and decrease unnecessary hospitalization</w:t>
      </w:r>
    </w:p>
    <w:p w:rsidRPr="00784B91" w:rsidR="00784B91" w:rsidP="00D24534" w:rsidRDefault="00784B91" w14:paraId="4409343F" w14:textId="42BB9329">
      <w:pPr>
        <w:spacing w:after="0"/>
        <w:rPr>
          <w:rFonts w:cstheme="minorHAnsi"/>
        </w:rPr>
      </w:pPr>
      <w:r w:rsidRPr="00784B91">
        <w:rPr>
          <w:rFonts w:cstheme="minorHAnsi"/>
        </w:rPr>
        <w:t xml:space="preserve">Jed A. Katzel, MD, Stephen Van Den </w:t>
      </w:r>
      <w:proofErr w:type="spellStart"/>
      <w:r w:rsidRPr="00784B91">
        <w:rPr>
          <w:rFonts w:cstheme="minorHAnsi"/>
        </w:rPr>
        <w:t>Eeden</w:t>
      </w:r>
      <w:proofErr w:type="spellEnd"/>
      <w:r w:rsidRPr="00784B91">
        <w:rPr>
          <w:rFonts w:cstheme="minorHAnsi"/>
        </w:rPr>
        <w:t xml:space="preserve">, PhD, Raymond Liu, </w:t>
      </w:r>
      <w:proofErr w:type="gramStart"/>
      <w:r w:rsidRPr="00784B91">
        <w:rPr>
          <w:rFonts w:cstheme="minorHAnsi"/>
        </w:rPr>
        <w:t>MD</w:t>
      </w:r>
      <w:r>
        <w:rPr>
          <w:rFonts w:cstheme="minorHAnsi"/>
        </w:rPr>
        <w:t xml:space="preserve">, </w:t>
      </w:r>
      <w:r w:rsidRPr="00784B91">
        <w:rPr>
          <w:rFonts w:cstheme="minorHAnsi"/>
        </w:rPr>
        <w:t xml:space="preserve"> Amy</w:t>
      </w:r>
      <w:proofErr w:type="gramEnd"/>
      <w:r w:rsidRPr="00784B91">
        <w:rPr>
          <w:rFonts w:cstheme="minorHAnsi"/>
        </w:rPr>
        <w:t xml:space="preserve"> Gillis, MD</w:t>
      </w:r>
      <w:r>
        <w:rPr>
          <w:rFonts w:cstheme="minorHAnsi"/>
        </w:rPr>
        <w:t xml:space="preserve">,  </w:t>
      </w:r>
      <w:r w:rsidRPr="00784B91">
        <w:rPr>
          <w:rFonts w:cstheme="minorHAnsi"/>
        </w:rPr>
        <w:t>Chuck Meltzer, MD</w:t>
      </w:r>
      <w:r>
        <w:rPr>
          <w:rFonts w:cstheme="minorHAnsi"/>
        </w:rPr>
        <w:t xml:space="preserve">, </w:t>
      </w:r>
      <w:r w:rsidRPr="00784B91">
        <w:rPr>
          <w:rFonts w:cstheme="minorHAnsi"/>
        </w:rPr>
        <w:t>Fidelia Butt, MD</w:t>
      </w:r>
    </w:p>
    <w:tbl>
      <w:tblPr>
        <w:tblStyle w:val="TableGrid"/>
        <w:tblpPr w:leftFromText="180" w:rightFromText="180" w:vertAnchor="page" w:horzAnchor="margin" w:tblpY="2581"/>
        <w:tblW w:w="10705" w:type="dxa"/>
        <w:tblLook w:val="04A0" w:firstRow="1" w:lastRow="0" w:firstColumn="1" w:lastColumn="0" w:noHBand="0" w:noVBand="1"/>
      </w:tblPr>
      <w:tblGrid>
        <w:gridCol w:w="1975"/>
        <w:gridCol w:w="8730"/>
      </w:tblGrid>
      <w:tr w:rsidRPr="008A7C90" w:rsidR="0048655A" w:rsidTr="53952790" w14:paraId="307289BF" w14:textId="77777777">
        <w:trPr>
          <w:trHeight w:val="816"/>
        </w:trPr>
        <w:tc>
          <w:tcPr>
            <w:tcW w:w="1975" w:type="dxa"/>
            <w:tcMar/>
          </w:tcPr>
          <w:p w:rsidRPr="008A7C90" w:rsidR="0048655A" w:rsidP="0048655A" w:rsidRDefault="0048655A" w14:paraId="2C7E2D09" w14:textId="77777777">
            <w:pPr>
              <w:spacing w:line="259" w:lineRule="auto"/>
            </w:pPr>
            <w:bookmarkStart w:name="_Hlk54105970" w:id="1"/>
            <w:r w:rsidRPr="008A7C90">
              <w:t>Challenge</w:t>
            </w:r>
          </w:p>
        </w:tc>
        <w:tc>
          <w:tcPr>
            <w:tcW w:w="8730" w:type="dxa"/>
            <w:tcMar/>
          </w:tcPr>
          <w:p w:rsidRPr="0031051B" w:rsidR="0048655A" w:rsidP="0048655A" w:rsidRDefault="00FE58EA" w14:paraId="7F9273D4" w14:textId="3A6D1667">
            <w:pPr>
              <w:spacing w:line="259" w:lineRule="auto"/>
              <w:rPr>
                <w:b w:val="1"/>
                <w:bCs w:val="1"/>
              </w:rPr>
            </w:pPr>
            <w:r w:rsidRPr="53952790" w:rsidR="00FE58EA">
              <w:rPr>
                <w:b w:val="1"/>
                <w:bCs w:val="1"/>
              </w:rPr>
              <w:t>Routine use of Patient Reported Outcomes (PRO) Tools integrated within the electronic medical record</w:t>
            </w:r>
            <w:r w:rsidRPr="53952790" w:rsidR="00694D4F">
              <w:rPr>
                <w:b w:val="1"/>
                <w:bCs w:val="1"/>
              </w:rPr>
              <w:t xml:space="preserve"> </w:t>
            </w:r>
            <w:r w:rsidRPr="53952790" w:rsidR="00FE58EA">
              <w:rPr>
                <w:b w:val="1"/>
                <w:bCs w:val="1"/>
              </w:rPr>
              <w:t>has not yet become a standard practice</w:t>
            </w:r>
            <w:r w:rsidRPr="53952790" w:rsidR="00694D4F">
              <w:rPr>
                <w:b w:val="1"/>
                <w:bCs w:val="1"/>
              </w:rPr>
              <w:t xml:space="preserve"> even though it has been s</w:t>
            </w:r>
            <w:r w:rsidRPr="53952790" w:rsidR="03587E36">
              <w:rPr>
                <w:b w:val="1"/>
                <w:bCs w:val="1"/>
              </w:rPr>
              <w:t xml:space="preserve">uggested </w:t>
            </w:r>
            <w:r w:rsidRPr="53952790" w:rsidR="00694D4F">
              <w:rPr>
                <w:b w:val="1"/>
                <w:bCs w:val="1"/>
              </w:rPr>
              <w:t xml:space="preserve">to improve health care outcomes and reduce resource utilization. </w:t>
            </w:r>
            <w:r w:rsidRPr="53952790" w:rsidR="0048655A">
              <w:rPr>
                <w:b w:val="1"/>
                <w:bCs w:val="1"/>
              </w:rPr>
              <w:t xml:space="preserve">  </w:t>
            </w:r>
          </w:p>
        </w:tc>
      </w:tr>
      <w:tr w:rsidRPr="008A7C90" w:rsidR="0048655A" w:rsidTr="53952790" w14:paraId="67D435C8" w14:textId="77777777">
        <w:trPr>
          <w:trHeight w:val="1091"/>
        </w:trPr>
        <w:tc>
          <w:tcPr>
            <w:tcW w:w="1975" w:type="dxa"/>
            <w:tcMar/>
          </w:tcPr>
          <w:p w:rsidRPr="008A7C90" w:rsidR="0048655A" w:rsidP="0048655A" w:rsidRDefault="0048655A" w14:paraId="351B366F" w14:textId="77777777">
            <w:pPr>
              <w:spacing w:line="259" w:lineRule="auto"/>
            </w:pPr>
            <w:r w:rsidRPr="008A7C90">
              <w:t>Existing Evidence</w:t>
            </w:r>
          </w:p>
        </w:tc>
        <w:tc>
          <w:tcPr>
            <w:tcW w:w="8730" w:type="dxa"/>
            <w:tcMar/>
          </w:tcPr>
          <w:p w:rsidRPr="00784B91" w:rsidR="00694D4F" w:rsidP="53952790" w:rsidRDefault="00694D4F" w14:paraId="3197CB14" w14:textId="222EA171">
            <w:pPr>
              <w:pStyle w:val="BodyText"/>
              <w:spacing w:after="0"/>
              <w:ind/>
              <w:rPr>
                <w:rFonts w:cs="Calibri" w:cstheme="minorAscii"/>
              </w:rPr>
            </w:pPr>
            <w:r w:rsidRPr="53952790" w:rsidR="00694D4F">
              <w:rPr>
                <w:rFonts w:cs="Calibri" w:cstheme="minorAscii"/>
              </w:rPr>
              <w:t xml:space="preserve">Timely interventions for these patients </w:t>
            </w:r>
            <w:proofErr w:type="gramStart"/>
            <w:r w:rsidRPr="53952790" w:rsidR="00694D4F">
              <w:rPr>
                <w:rFonts w:cs="Calibri" w:cstheme="minorAscii"/>
              </w:rPr>
              <w:t>has</w:t>
            </w:r>
            <w:proofErr w:type="gramEnd"/>
            <w:r w:rsidRPr="53952790" w:rsidR="00694D4F">
              <w:rPr>
                <w:rFonts w:cs="Calibri" w:cstheme="minorAscii"/>
              </w:rPr>
              <w:t xml:space="preserve"> been shown to result in better long-term outcomes.  In particular, the use of PRO has been shown to:</w:t>
            </w:r>
            <w:r w:rsidRPr="53952790" w:rsidR="425A501F">
              <w:rPr>
                <w:rFonts w:cs="Calibri" w:cstheme="minorAscii"/>
              </w:rPr>
              <w:t xml:space="preserve"> </w:t>
            </w:r>
            <w:r w:rsidRPr="00784B91">
              <w:rPr>
                <w:rFonts w:cstheme="minorHAnsi"/>
              </w:rPr>
              <w:tab/>
            </w:r>
            <w:r w:rsidRPr="53952790" w:rsidR="00694D4F">
              <w:rPr>
                <w:rFonts w:cs="Calibri" w:cstheme="minorAscii"/>
              </w:rPr>
              <w:t>a) reduce ER visits and hospitalizations</w:t>
            </w:r>
            <w:r w:rsidRPr="53952790" w:rsidR="62E7B91F">
              <w:rPr>
                <w:rFonts w:cs="Calibri" w:cstheme="minorAscii"/>
              </w:rPr>
              <w:t xml:space="preserve">; </w:t>
            </w:r>
            <w:r w:rsidRPr="00784B91">
              <w:rPr>
                <w:rFonts w:cstheme="minorHAnsi"/>
              </w:rPr>
              <w:tab/>
            </w:r>
            <w:r w:rsidRPr="53952790" w:rsidR="00694D4F">
              <w:rPr>
                <w:rFonts w:cs="Calibri" w:cstheme="minorAscii"/>
              </w:rPr>
              <w:t>b) address pressing patient concerns</w:t>
            </w:r>
            <w:r w:rsidRPr="53952790" w:rsidR="172B56D0">
              <w:rPr>
                <w:rFonts w:cs="Calibri" w:cstheme="minorAscii"/>
              </w:rPr>
              <w:t xml:space="preserve">; </w:t>
            </w:r>
            <w:r w:rsidRPr="00784B91">
              <w:rPr>
                <w:rFonts w:cstheme="minorHAnsi"/>
              </w:rPr>
              <w:tab/>
            </w:r>
            <w:r w:rsidRPr="53952790" w:rsidR="00694D4F">
              <w:rPr>
                <w:rFonts w:cs="Calibri" w:cstheme="minorAscii"/>
              </w:rPr>
              <w:t>c) standardize symptom reporting</w:t>
            </w:r>
            <w:r w:rsidRPr="53952790" w:rsidR="777E4C39">
              <w:rPr>
                <w:rFonts w:cs="Calibri" w:cstheme="minorAscii"/>
              </w:rPr>
              <w:t xml:space="preserve">; </w:t>
            </w:r>
          </w:p>
          <w:p w:rsidRPr="00784B91" w:rsidR="00694D4F" w:rsidP="00694D4F" w:rsidRDefault="00694D4F" w14:paraId="27569782" w14:textId="77777777">
            <w:pPr>
              <w:pStyle w:val="BodyText"/>
              <w:spacing w:after="0"/>
              <w:ind w:left="720"/>
              <w:rPr>
                <w:rFonts w:cstheme="minorHAnsi"/>
              </w:rPr>
            </w:pPr>
            <w:r w:rsidRPr="00784B91">
              <w:rPr>
                <w:rFonts w:cstheme="minorHAnsi"/>
              </w:rPr>
              <w:tab/>
            </w:r>
            <w:r w:rsidRPr="00784B91">
              <w:rPr>
                <w:rFonts w:cstheme="minorHAnsi"/>
              </w:rPr>
              <w:t>d) improved patient satisfaction</w:t>
            </w:r>
          </w:p>
          <w:p w:rsidRPr="00784B91" w:rsidR="00694D4F" w:rsidP="00694D4F" w:rsidRDefault="00694D4F" w14:paraId="3FFF1684" w14:textId="77777777">
            <w:pPr>
              <w:pStyle w:val="BodyText"/>
              <w:spacing w:after="0"/>
              <w:ind w:left="1440"/>
              <w:rPr>
                <w:rFonts w:cstheme="minorHAnsi"/>
              </w:rPr>
            </w:pPr>
            <w:r w:rsidRPr="00784B91">
              <w:rPr>
                <w:rFonts w:cstheme="minorHAnsi"/>
              </w:rPr>
              <w:t>e) be useful for all patients even those with lower education and less computer experience</w:t>
            </w:r>
          </w:p>
          <w:p w:rsidRPr="00784B91" w:rsidR="00694D4F" w:rsidP="00694D4F" w:rsidRDefault="00694D4F" w14:paraId="380F99F3" w14:textId="77777777">
            <w:pPr>
              <w:pStyle w:val="BodyText"/>
              <w:spacing w:after="0"/>
              <w:ind w:left="720"/>
              <w:rPr>
                <w:rFonts w:cstheme="minorHAnsi"/>
              </w:rPr>
            </w:pPr>
            <w:r w:rsidRPr="00784B91">
              <w:rPr>
                <w:rFonts w:cstheme="minorHAnsi"/>
              </w:rPr>
              <w:tab/>
            </w:r>
            <w:r w:rsidRPr="00784B91">
              <w:rPr>
                <w:rFonts w:cstheme="minorHAnsi"/>
              </w:rPr>
              <w:t>f) improve patient-physician communication</w:t>
            </w:r>
          </w:p>
          <w:p w:rsidRPr="00694D4F" w:rsidR="0048655A" w:rsidP="00694D4F" w:rsidRDefault="00694D4F" w14:paraId="70041630" w14:textId="64C0B621">
            <w:pPr>
              <w:pStyle w:val="BodyText"/>
              <w:spacing w:after="0"/>
              <w:ind w:left="720"/>
              <w:rPr>
                <w:rFonts w:ascii="Arial" w:hAnsi="Arial" w:cs="Arial"/>
              </w:rPr>
            </w:pPr>
            <w:r w:rsidRPr="00784B91">
              <w:rPr>
                <w:rFonts w:cstheme="minorHAnsi"/>
              </w:rPr>
              <w:tab/>
            </w:r>
            <w:r w:rsidRPr="00784B91">
              <w:rPr>
                <w:rFonts w:cstheme="minorHAnsi"/>
              </w:rPr>
              <w:t>g) lead to improved survival</w:t>
            </w:r>
          </w:p>
        </w:tc>
      </w:tr>
      <w:tr w:rsidRPr="008A7C90" w:rsidR="0048655A" w:rsidTr="53952790" w14:paraId="136E6453" w14:textId="77777777">
        <w:trPr>
          <w:trHeight w:val="262"/>
        </w:trPr>
        <w:tc>
          <w:tcPr>
            <w:tcW w:w="1975" w:type="dxa"/>
            <w:tcMar/>
          </w:tcPr>
          <w:p w:rsidRPr="008A7C90" w:rsidR="0048655A" w:rsidP="0048655A" w:rsidRDefault="0048655A" w14:paraId="53202DB8" w14:textId="77777777">
            <w:pPr>
              <w:spacing w:line="259" w:lineRule="auto"/>
            </w:pPr>
            <w:r w:rsidRPr="008A7C90">
              <w:t>Target Population</w:t>
            </w:r>
          </w:p>
        </w:tc>
        <w:tc>
          <w:tcPr>
            <w:tcW w:w="8730" w:type="dxa"/>
            <w:tcMar/>
          </w:tcPr>
          <w:p w:rsidRPr="008A7C90" w:rsidR="0048655A" w:rsidP="0048655A" w:rsidRDefault="00694D4F" w14:paraId="1486D38C" w14:textId="7A8A2413">
            <w:pPr>
              <w:spacing w:line="259" w:lineRule="auto"/>
            </w:pPr>
            <w:r>
              <w:t>Head and Neck Cancer patients treated with radiation therapy</w:t>
            </w:r>
          </w:p>
        </w:tc>
      </w:tr>
      <w:tr w:rsidRPr="008A7C90" w:rsidR="0048655A" w:rsidTr="53952790" w14:paraId="5B80BED5" w14:textId="77777777">
        <w:trPr>
          <w:trHeight w:val="276"/>
        </w:trPr>
        <w:tc>
          <w:tcPr>
            <w:tcW w:w="1975" w:type="dxa"/>
            <w:tcMar/>
          </w:tcPr>
          <w:p w:rsidRPr="008A7C90" w:rsidR="0048655A" w:rsidP="0048655A" w:rsidRDefault="0048655A" w14:paraId="0D0B7C0D" w14:textId="77777777">
            <w:pPr>
              <w:spacing w:line="259" w:lineRule="auto"/>
            </w:pPr>
            <w:r w:rsidRPr="008A7C90">
              <w:t>Intervention or Exposure</w:t>
            </w:r>
          </w:p>
        </w:tc>
        <w:tc>
          <w:tcPr>
            <w:tcW w:w="8730" w:type="dxa"/>
            <w:tcMar/>
          </w:tcPr>
          <w:p w:rsidRPr="008A7C90" w:rsidR="0048655A" w:rsidP="0048655A" w:rsidRDefault="00566F5A" w14:paraId="0CA2C589" w14:textId="557FD64B">
            <w:pPr>
              <w:spacing w:line="259" w:lineRule="auto"/>
            </w:pPr>
            <w:r>
              <w:t>Weekly PRO tool surveys sent electronically to patients.  There will also be satisfaction surveys sent to patients and to providers to assess the overall symptom management process.</w:t>
            </w:r>
            <w:r w:rsidRPr="008A7C90" w:rsidR="0048655A">
              <w:t xml:space="preserve"> </w:t>
            </w:r>
          </w:p>
        </w:tc>
      </w:tr>
      <w:tr w:rsidRPr="008A7C90" w:rsidR="0048655A" w:rsidTr="53952790" w14:paraId="13978FD3" w14:textId="77777777">
        <w:trPr>
          <w:trHeight w:val="1125"/>
        </w:trPr>
        <w:tc>
          <w:tcPr>
            <w:tcW w:w="1975" w:type="dxa"/>
            <w:tcMar/>
          </w:tcPr>
          <w:p w:rsidRPr="00EF635D" w:rsidR="0048655A" w:rsidP="0048655A" w:rsidRDefault="0048655A" w14:paraId="7525D5B4" w14:textId="77777777">
            <w:pPr>
              <w:spacing w:line="259" w:lineRule="auto"/>
              <w:rPr>
                <w:b/>
                <w:bCs/>
              </w:rPr>
            </w:pPr>
            <w:r w:rsidRPr="00EF635D">
              <w:rPr>
                <w:b/>
                <w:bCs/>
              </w:rPr>
              <w:t>Outcomes/Key Findings</w:t>
            </w:r>
          </w:p>
        </w:tc>
        <w:tc>
          <w:tcPr>
            <w:tcW w:w="8730" w:type="dxa"/>
            <w:tcMar/>
          </w:tcPr>
          <w:p w:rsidRPr="00566F5A" w:rsidR="00566F5A" w:rsidP="53952790" w:rsidRDefault="00566F5A" w14:paraId="7B99B549" w14:textId="2E60B47F">
            <w:pPr>
              <w:rPr>
                <w:rFonts w:cs="Calibri" w:cstheme="minorAscii"/>
              </w:rPr>
            </w:pPr>
            <w:r w:rsidRPr="53952790" w:rsidR="00566F5A">
              <w:rPr>
                <w:b w:val="1"/>
                <w:bCs w:val="1"/>
              </w:rPr>
              <w:t xml:space="preserve">Our pilot project demonstrated a high compliance rate with PRO tool use within the electronic medical record.  </w:t>
            </w:r>
            <w:r w:rsidRPr="53952790" w:rsidR="00566F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53952790" w:rsidR="00566F5A">
              <w:rPr>
                <w:rFonts w:cs="Calibri" w:cstheme="minorAscii"/>
              </w:rPr>
              <w:t>Out of a total of 597 electronic surveys</w:t>
            </w:r>
            <w:r w:rsidRPr="53952790" w:rsidR="7DE4E29D">
              <w:rPr>
                <w:rFonts w:cs="Calibri" w:cstheme="minorAscii"/>
              </w:rPr>
              <w:t xml:space="preserve"> initiated</w:t>
            </w:r>
            <w:r w:rsidRPr="53952790" w:rsidR="00566F5A">
              <w:rPr>
                <w:rFonts w:cs="Calibri" w:cstheme="minorAscii"/>
              </w:rPr>
              <w:t>, 585 (97.9%) were completed. The percentage of patient completing each survey ranged from 92-100%.</w:t>
            </w:r>
          </w:p>
          <w:p w:rsidRPr="00784B91" w:rsidR="0048655A" w:rsidP="53952790" w:rsidRDefault="00566F5A" w14:paraId="3CD35CB0" w14:textId="739224E0">
            <w:pPr>
              <w:rPr>
                <w:rFonts w:cs="Calibri" w:cstheme="minorAscii"/>
              </w:rPr>
            </w:pPr>
            <w:r w:rsidRPr="53952790" w:rsidR="00566F5A">
              <w:rPr>
                <w:rFonts w:cs="Calibri" w:cstheme="minorAscii"/>
              </w:rPr>
              <w:t xml:space="preserve">The prospective implementation portion is ongoing with data analysis anticipated </w:t>
            </w:r>
            <w:r w:rsidRPr="53952790" w:rsidR="50EE5A90">
              <w:rPr>
                <w:rFonts w:cs="Calibri" w:cstheme="minorAscii"/>
              </w:rPr>
              <w:t>late 2021.</w:t>
            </w:r>
          </w:p>
        </w:tc>
      </w:tr>
      <w:tr w:rsidRPr="008A7C90" w:rsidR="0048655A" w:rsidTr="53952790" w14:paraId="62542513" w14:textId="77777777">
        <w:trPr>
          <w:trHeight w:val="632"/>
        </w:trPr>
        <w:tc>
          <w:tcPr>
            <w:tcW w:w="1975" w:type="dxa"/>
            <w:tcMar/>
          </w:tcPr>
          <w:p w:rsidRPr="00EF635D" w:rsidR="0048655A" w:rsidP="0048655A" w:rsidRDefault="0048655A" w14:paraId="38755ADC" w14:textId="77777777">
            <w:pPr>
              <w:spacing w:line="259" w:lineRule="auto"/>
              <w:rPr>
                <w:b/>
                <w:bCs/>
              </w:rPr>
            </w:pPr>
            <w:r w:rsidRPr="00EF635D">
              <w:rPr>
                <w:b/>
                <w:bCs/>
              </w:rPr>
              <w:t>Resulting Action/Change</w:t>
            </w:r>
          </w:p>
        </w:tc>
        <w:tc>
          <w:tcPr>
            <w:tcW w:w="8730" w:type="dxa"/>
            <w:tcMar/>
          </w:tcPr>
          <w:p w:rsidRPr="00EF635D" w:rsidR="0048655A" w:rsidP="0048655A" w:rsidRDefault="00566F5A" w14:paraId="092B6F29" w14:textId="5CE7A2D3">
            <w:pPr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>Analysis of best practices for implementation of PRO Tool use are anticipated at the end of the analysis phase</w:t>
            </w:r>
          </w:p>
        </w:tc>
      </w:tr>
      <w:tr w:rsidRPr="008A7C90" w:rsidR="00CB0455" w:rsidTr="53952790" w14:paraId="57800790" w14:textId="77777777">
        <w:trPr>
          <w:trHeight w:val="816"/>
        </w:trPr>
        <w:tc>
          <w:tcPr>
            <w:tcW w:w="1975" w:type="dxa"/>
            <w:tcMar/>
          </w:tcPr>
          <w:p w:rsidRPr="00EB0401" w:rsidR="00CB0455" w:rsidP="0048655A" w:rsidRDefault="00CB0455" w14:paraId="6C4E04AC" w14:textId="161310DB">
            <w:r w:rsidRPr="00EB0401">
              <w:t>Additional Recommendations</w:t>
            </w:r>
          </w:p>
        </w:tc>
        <w:tc>
          <w:tcPr>
            <w:tcW w:w="8730" w:type="dxa"/>
            <w:tcMar/>
          </w:tcPr>
          <w:p w:rsidRPr="00EB0401" w:rsidR="00CB0455" w:rsidP="0048655A" w:rsidRDefault="00566F5A" w14:paraId="08163871" w14:textId="40D4EA65">
            <w:r w:rsidR="00566F5A">
              <w:rPr/>
              <w:t xml:space="preserve">Operational leaders may benefit from lessons learned in the </w:t>
            </w:r>
            <w:r w:rsidR="00784B91">
              <w:rPr/>
              <w:t>implementation</w:t>
            </w:r>
            <w:r w:rsidR="00566F5A">
              <w:rPr/>
              <w:t xml:space="preserve"> of PRO use for head and neck cancer patients that can be </w:t>
            </w:r>
            <w:r w:rsidR="00784B91">
              <w:rPr/>
              <w:t>incorporated in the care of patients with other cancers and to other medical conditions.</w:t>
            </w:r>
          </w:p>
        </w:tc>
      </w:tr>
      <w:tr w:rsidRPr="008A7C90" w:rsidR="0048655A" w:rsidTr="53952790" w14:paraId="21F6FB6D" w14:textId="77777777">
        <w:trPr>
          <w:trHeight w:val="552"/>
        </w:trPr>
        <w:tc>
          <w:tcPr>
            <w:tcW w:w="1975" w:type="dxa"/>
            <w:tcMar/>
          </w:tcPr>
          <w:p w:rsidRPr="008A7C90" w:rsidR="0048655A" w:rsidP="0048655A" w:rsidRDefault="0048655A" w14:paraId="511F380C" w14:textId="77777777">
            <w:pPr>
              <w:spacing w:line="259" w:lineRule="auto"/>
            </w:pPr>
            <w:r w:rsidRPr="008A7C90">
              <w:t>Implementation Tools</w:t>
            </w:r>
            <w:r w:rsidRPr="008A7C90">
              <w:tab/>
            </w:r>
          </w:p>
        </w:tc>
        <w:tc>
          <w:tcPr>
            <w:tcW w:w="8730" w:type="dxa"/>
            <w:tcMar/>
          </w:tcPr>
          <w:p w:rsidRPr="008A7C90" w:rsidR="0048655A" w:rsidP="0048655A" w:rsidRDefault="00784B91" w14:paraId="35B5FEA6" w14:textId="212B9835">
            <w:pPr>
              <w:spacing w:line="259" w:lineRule="auto"/>
            </w:pPr>
            <w:r>
              <w:t>PRO response dot phrase, PRO satisfaction questionnaires, symptom management standardization protocols</w:t>
            </w:r>
          </w:p>
        </w:tc>
      </w:tr>
      <w:tr w:rsidRPr="008A7C90" w:rsidR="0048655A" w:rsidTr="53952790" w14:paraId="02D4678D" w14:textId="77777777">
        <w:trPr>
          <w:trHeight w:val="552"/>
        </w:trPr>
        <w:tc>
          <w:tcPr>
            <w:tcW w:w="1975" w:type="dxa"/>
            <w:tcMar/>
          </w:tcPr>
          <w:p w:rsidRPr="008A7C90" w:rsidR="0048655A" w:rsidP="0048655A" w:rsidRDefault="0048655A" w14:paraId="1B184543" w14:textId="77777777">
            <w:pPr>
              <w:spacing w:line="259" w:lineRule="auto"/>
            </w:pPr>
            <w:r w:rsidRPr="008A7C90">
              <w:t>Implementation Measurement</w:t>
            </w:r>
          </w:p>
        </w:tc>
        <w:tc>
          <w:tcPr>
            <w:tcW w:w="8730" w:type="dxa"/>
            <w:tcMar/>
          </w:tcPr>
          <w:p w:rsidRPr="008A7C90" w:rsidR="0048655A" w:rsidP="0048655A" w:rsidRDefault="00784B91" w14:paraId="0D25EBD1" w14:textId="42442B63">
            <w:pPr>
              <w:spacing w:line="259" w:lineRule="auto"/>
            </w:pPr>
            <w:r>
              <w:t>Qualitative analysis of patient and provider satisfaction surveys</w:t>
            </w:r>
          </w:p>
        </w:tc>
      </w:tr>
      <w:tr w:rsidRPr="008A7C90" w:rsidR="0048655A" w:rsidTr="53952790" w14:paraId="66558595" w14:textId="77777777">
        <w:trPr>
          <w:trHeight w:val="538"/>
        </w:trPr>
        <w:tc>
          <w:tcPr>
            <w:tcW w:w="1975" w:type="dxa"/>
            <w:tcMar/>
          </w:tcPr>
          <w:p w:rsidRPr="008A7C90" w:rsidR="0048655A" w:rsidP="0048655A" w:rsidRDefault="0048655A" w14:paraId="29954FA9" w14:textId="77777777">
            <w:pPr>
              <w:spacing w:line="259" w:lineRule="auto"/>
            </w:pPr>
            <w:r w:rsidRPr="008A7C90">
              <w:t>Reference</w:t>
            </w:r>
          </w:p>
        </w:tc>
        <w:tc>
          <w:tcPr>
            <w:tcW w:w="8730" w:type="dxa"/>
            <w:tcMar/>
          </w:tcPr>
          <w:p w:rsidRPr="008A7C90" w:rsidR="0048655A" w:rsidP="0048655A" w:rsidRDefault="00784B91" w14:paraId="722DE921" w14:textId="7B91BD0A">
            <w:pPr>
              <w:spacing w:line="259" w:lineRule="auto"/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210E2611" wp14:editId="42C28D40">
                  <wp:extent cx="4184295" cy="2304288"/>
                  <wp:effectExtent l="0" t="0" r="0" b="1270"/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</w:tc>
      </w:tr>
      <w:bookmarkEnd w:id="1"/>
    </w:tbl>
    <w:p w:rsidR="00FE6194" w:rsidP="00784B91" w:rsidRDefault="00FE6194" w14:paraId="62800767" w14:textId="77777777">
      <w:pPr>
        <w:spacing w:after="0"/>
      </w:pPr>
    </w:p>
    <w:sectPr w:rsidR="00FE6194" w:rsidSect="00D24534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E0FD2"/>
    <w:multiLevelType w:val="hybridMultilevel"/>
    <w:tmpl w:val="83EA2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3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90"/>
    <w:rsid w:val="000811DB"/>
    <w:rsid w:val="001D52BB"/>
    <w:rsid w:val="001E348B"/>
    <w:rsid w:val="002A1A00"/>
    <w:rsid w:val="0031051B"/>
    <w:rsid w:val="003D755D"/>
    <w:rsid w:val="003E27D1"/>
    <w:rsid w:val="003E34C5"/>
    <w:rsid w:val="0048655A"/>
    <w:rsid w:val="00514319"/>
    <w:rsid w:val="00566F5A"/>
    <w:rsid w:val="00694D4F"/>
    <w:rsid w:val="006D32D2"/>
    <w:rsid w:val="0072563B"/>
    <w:rsid w:val="00777238"/>
    <w:rsid w:val="00784B91"/>
    <w:rsid w:val="0079334F"/>
    <w:rsid w:val="008131C8"/>
    <w:rsid w:val="008A7C90"/>
    <w:rsid w:val="009001F2"/>
    <w:rsid w:val="00933309"/>
    <w:rsid w:val="00A16BB1"/>
    <w:rsid w:val="00C3487D"/>
    <w:rsid w:val="00C4025A"/>
    <w:rsid w:val="00C73A94"/>
    <w:rsid w:val="00CB0455"/>
    <w:rsid w:val="00CF4301"/>
    <w:rsid w:val="00D003F1"/>
    <w:rsid w:val="00D24534"/>
    <w:rsid w:val="00EB0401"/>
    <w:rsid w:val="00EF635D"/>
    <w:rsid w:val="00FE58EA"/>
    <w:rsid w:val="00FE6194"/>
    <w:rsid w:val="03587E36"/>
    <w:rsid w:val="06444AF3"/>
    <w:rsid w:val="0B4BE6C0"/>
    <w:rsid w:val="155570F3"/>
    <w:rsid w:val="172B56D0"/>
    <w:rsid w:val="1A557A28"/>
    <w:rsid w:val="30BD5087"/>
    <w:rsid w:val="3295CD4A"/>
    <w:rsid w:val="425A501F"/>
    <w:rsid w:val="4E551E08"/>
    <w:rsid w:val="50EE5A90"/>
    <w:rsid w:val="53952790"/>
    <w:rsid w:val="62E7B91F"/>
    <w:rsid w:val="6EE44B0E"/>
    <w:rsid w:val="777E4C39"/>
    <w:rsid w:val="7DE4E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387FD"/>
  <w15:chartTrackingRefBased/>
  <w15:docId w15:val="{9FC22822-AC04-437A-95FB-02AB67929F1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A7C90"/>
  </w:style>
  <w:style w:type="paragraph" w:styleId="Heading1">
    <w:name w:val="heading 1"/>
    <w:basedOn w:val="Normal"/>
    <w:next w:val="Normal"/>
    <w:link w:val="Heading1Char"/>
    <w:uiPriority w:val="9"/>
    <w:qFormat/>
    <w:rsid w:val="008A7C9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A7C90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A7C9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8A7C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7C9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694D4F"/>
    <w:pPr>
      <w:spacing w:after="120" w:line="240" w:lineRule="auto"/>
    </w:pPr>
  </w:style>
  <w:style w:type="character" w:styleId="BodyTextChar" w:customStyle="1">
    <w:name w:val="Body Text Char"/>
    <w:basedOn w:val="DefaultParagraphFont"/>
    <w:link w:val="BodyText"/>
    <w:uiPriority w:val="99"/>
    <w:rsid w:val="00694D4F"/>
  </w:style>
  <w:style w:type="paragraph" w:styleId="ListParagraph">
    <w:name w:val="List Paragraph"/>
    <w:basedOn w:val="Normal"/>
    <w:uiPriority w:val="34"/>
    <w:qFormat/>
    <w:rsid w:val="00784B9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diagramData" Target="diagrams/data1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07/relationships/diagramDrawing" Target="diagrams/drawing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diagramColors" Target="diagrams/colors1.xml" Id="rId11" /><Relationship Type="http://schemas.openxmlformats.org/officeDocument/2006/relationships/styles" Target="styles.xml" Id="rId5" /><Relationship Type="http://schemas.openxmlformats.org/officeDocument/2006/relationships/diagramQuickStyle" Target="diagrams/quickStyle1.xml" Id="rId10" /><Relationship Type="http://schemas.openxmlformats.org/officeDocument/2006/relationships/numbering" Target="numbering.xml" Id="rId4" /><Relationship Type="http://schemas.openxmlformats.org/officeDocument/2006/relationships/diagramLayout" Target="diagrams/layout1.xml" Id="rId9" /><Relationship Type="http://schemas.openxmlformats.org/officeDocument/2006/relationships/theme" Target="theme/theme1.xml" Id="rId14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3F7B0D6-2A03-504E-BC48-39A96EE4B972}" type="doc">
      <dgm:prSet loTypeId="urn:microsoft.com/office/officeart/2005/8/layout/StepDownProcess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20F2A1B-E5F9-C441-86A0-CCF8F470A84D}">
      <dgm:prSet phldrT="[Text]"/>
      <dgm:spPr/>
      <dgm:t>
        <a:bodyPr/>
        <a:lstStyle/>
        <a:p>
          <a:r>
            <a:rPr lang="en-US"/>
            <a:t>Baseline survey</a:t>
          </a:r>
        </a:p>
      </dgm:t>
    </dgm:pt>
    <dgm:pt modelId="{60F6FD82-A1EC-C345-B961-C340A19867F8}" type="parTrans" cxnId="{39F16CC9-E5EA-FD44-932B-90BA19310444}">
      <dgm:prSet/>
      <dgm:spPr/>
      <dgm:t>
        <a:bodyPr/>
        <a:lstStyle/>
        <a:p>
          <a:endParaRPr lang="en-US"/>
        </a:p>
      </dgm:t>
    </dgm:pt>
    <dgm:pt modelId="{7A8FDEF6-E8BC-8B4D-A25B-D639A3AF1005}" type="sibTrans" cxnId="{39F16CC9-E5EA-FD44-932B-90BA19310444}">
      <dgm:prSet/>
      <dgm:spPr/>
      <dgm:t>
        <a:bodyPr/>
        <a:lstStyle/>
        <a:p>
          <a:endParaRPr lang="en-US"/>
        </a:p>
      </dgm:t>
    </dgm:pt>
    <dgm:pt modelId="{7B36ED59-BF8D-DB46-A8FF-3F5A130EC95D}">
      <dgm:prSet phldrT="[Text]"/>
      <dgm:spPr/>
      <dgm:t>
        <a:bodyPr/>
        <a:lstStyle/>
        <a:p>
          <a:r>
            <a:rPr lang="en-US"/>
            <a:t>Manager and RN assign survey schedule based on treatment plan</a:t>
          </a:r>
        </a:p>
      </dgm:t>
    </dgm:pt>
    <dgm:pt modelId="{B8943E1F-7D1D-C14F-819C-FE34E9FA4CFB}" type="parTrans" cxnId="{2CF417F6-885E-B245-8E67-87CA39B4AD1D}">
      <dgm:prSet/>
      <dgm:spPr/>
      <dgm:t>
        <a:bodyPr/>
        <a:lstStyle/>
        <a:p>
          <a:endParaRPr lang="en-US"/>
        </a:p>
      </dgm:t>
    </dgm:pt>
    <dgm:pt modelId="{FA5A8780-2DED-A441-AC4F-6E15CD3A58CA}" type="sibTrans" cxnId="{2CF417F6-885E-B245-8E67-87CA39B4AD1D}">
      <dgm:prSet/>
      <dgm:spPr/>
      <dgm:t>
        <a:bodyPr/>
        <a:lstStyle/>
        <a:p>
          <a:endParaRPr lang="en-US"/>
        </a:p>
      </dgm:t>
    </dgm:pt>
    <dgm:pt modelId="{FE58414B-EA90-AA48-8131-5D872C229546}">
      <dgm:prSet phldrT="[Text]"/>
      <dgm:spPr/>
      <dgm:t>
        <a:bodyPr/>
        <a:lstStyle/>
        <a:p>
          <a:r>
            <a:rPr lang="en-US">
              <a:solidFill>
                <a:srgbClr val="FFFF00"/>
              </a:solidFill>
            </a:rPr>
            <a:t>Surveys during treatment</a:t>
          </a:r>
        </a:p>
      </dgm:t>
    </dgm:pt>
    <dgm:pt modelId="{190A563D-A22C-A74E-A925-0BDEBE384CDD}" type="parTrans" cxnId="{DE1E9EA4-A3C5-4E44-BF00-987EED5178D1}">
      <dgm:prSet/>
      <dgm:spPr/>
      <dgm:t>
        <a:bodyPr/>
        <a:lstStyle/>
        <a:p>
          <a:endParaRPr lang="en-US"/>
        </a:p>
      </dgm:t>
    </dgm:pt>
    <dgm:pt modelId="{4DB5EB0D-2A6F-3C49-867A-677D8AADA944}" type="sibTrans" cxnId="{DE1E9EA4-A3C5-4E44-BF00-987EED5178D1}">
      <dgm:prSet/>
      <dgm:spPr/>
      <dgm:t>
        <a:bodyPr/>
        <a:lstStyle/>
        <a:p>
          <a:endParaRPr lang="en-US"/>
        </a:p>
      </dgm:t>
    </dgm:pt>
    <dgm:pt modelId="{A6FC4328-B229-9A4B-95A8-A7FA56D4A31B}">
      <dgm:prSet phldrT="[Text]"/>
      <dgm:spPr/>
      <dgm:t>
        <a:bodyPr/>
        <a:lstStyle/>
        <a:p>
          <a:r>
            <a:rPr lang="en-US"/>
            <a:t>a) Every 1 week during RT+/- chemo</a:t>
          </a:r>
        </a:p>
      </dgm:t>
    </dgm:pt>
    <dgm:pt modelId="{3F7ABE68-C853-1A40-B23F-9DC7B6B0BE0E}" type="parTrans" cxnId="{3F2FF5F0-3442-EC4C-8834-748BDAE5C790}">
      <dgm:prSet/>
      <dgm:spPr/>
      <dgm:t>
        <a:bodyPr/>
        <a:lstStyle/>
        <a:p>
          <a:endParaRPr lang="en-US"/>
        </a:p>
      </dgm:t>
    </dgm:pt>
    <dgm:pt modelId="{B34E3416-18AC-2347-90DA-8A2A0F8CFE1A}" type="sibTrans" cxnId="{3F2FF5F0-3442-EC4C-8834-748BDAE5C790}">
      <dgm:prSet/>
      <dgm:spPr/>
      <dgm:t>
        <a:bodyPr/>
        <a:lstStyle/>
        <a:p>
          <a:endParaRPr lang="en-US"/>
        </a:p>
      </dgm:t>
    </dgm:pt>
    <dgm:pt modelId="{6AE9B32A-3BF2-F049-A7F7-4C2CC1C943F9}">
      <dgm:prSet phldrT="[Text]"/>
      <dgm:spPr/>
      <dgm:t>
        <a:bodyPr/>
        <a:lstStyle/>
        <a:p>
          <a:r>
            <a:rPr lang="en-US"/>
            <a:t>Surveys during </a:t>
          </a:r>
          <a:r>
            <a:rPr lang="en-US">
              <a:solidFill>
                <a:schemeClr val="accent6">
                  <a:lumMod val="20000"/>
                  <a:lumOff val="80000"/>
                </a:schemeClr>
              </a:solidFill>
            </a:rPr>
            <a:t>surveillance</a:t>
          </a:r>
        </a:p>
      </dgm:t>
    </dgm:pt>
    <dgm:pt modelId="{CB21E667-D8E5-F340-92C3-761CEDEDD6E0}" type="parTrans" cxnId="{4354151E-C882-DD46-8CCE-E1DE239D859A}">
      <dgm:prSet/>
      <dgm:spPr/>
      <dgm:t>
        <a:bodyPr/>
        <a:lstStyle/>
        <a:p>
          <a:endParaRPr lang="en-US"/>
        </a:p>
      </dgm:t>
    </dgm:pt>
    <dgm:pt modelId="{7C5C4DC6-53A1-D341-B677-44005159465D}" type="sibTrans" cxnId="{4354151E-C882-DD46-8CCE-E1DE239D859A}">
      <dgm:prSet/>
      <dgm:spPr/>
      <dgm:t>
        <a:bodyPr/>
        <a:lstStyle/>
        <a:p>
          <a:endParaRPr lang="en-US"/>
        </a:p>
      </dgm:t>
    </dgm:pt>
    <dgm:pt modelId="{6652D96F-2EF7-8F4E-9841-A667D485FF0D}">
      <dgm:prSet phldrT="[Text]"/>
      <dgm:spPr/>
      <dgm:t>
        <a:bodyPr/>
        <a:lstStyle/>
        <a:p>
          <a:r>
            <a:rPr lang="en-US"/>
            <a:t>every 3-6 months to coorespond with ENT f/u visits</a:t>
          </a:r>
        </a:p>
      </dgm:t>
    </dgm:pt>
    <dgm:pt modelId="{7888EAE1-003C-DD4A-AAD9-E85BB93DA36D}" type="parTrans" cxnId="{9CB1B733-B9A9-244B-8AA8-377273F0A1B5}">
      <dgm:prSet/>
      <dgm:spPr/>
      <dgm:t>
        <a:bodyPr/>
        <a:lstStyle/>
        <a:p>
          <a:endParaRPr lang="en-US"/>
        </a:p>
      </dgm:t>
    </dgm:pt>
    <dgm:pt modelId="{FDB9C483-4BAA-2A49-9669-5F9203BE05D4}" type="sibTrans" cxnId="{9CB1B733-B9A9-244B-8AA8-377273F0A1B5}">
      <dgm:prSet/>
      <dgm:spPr/>
      <dgm:t>
        <a:bodyPr/>
        <a:lstStyle/>
        <a:p>
          <a:endParaRPr lang="en-US"/>
        </a:p>
      </dgm:t>
    </dgm:pt>
    <dgm:pt modelId="{7C778E46-EC72-BA40-9134-3DCFE05225FE}">
      <dgm:prSet phldrT="[Text]"/>
      <dgm:spPr/>
      <dgm:t>
        <a:bodyPr/>
        <a:lstStyle/>
        <a:p>
          <a:r>
            <a:rPr lang="en-US"/>
            <a:t>b) surgery go directly to surveillance schedule</a:t>
          </a:r>
        </a:p>
      </dgm:t>
    </dgm:pt>
    <dgm:pt modelId="{9B9953E7-C5BE-7F42-9027-B90A42C3F05E}" type="parTrans" cxnId="{EBE2040D-3409-464E-AAAE-EDA89D4E22FB}">
      <dgm:prSet/>
      <dgm:spPr/>
      <dgm:t>
        <a:bodyPr/>
        <a:lstStyle/>
        <a:p>
          <a:endParaRPr lang="en-US"/>
        </a:p>
      </dgm:t>
    </dgm:pt>
    <dgm:pt modelId="{C8E4EF83-37D7-D24D-ACAE-42E4F58CE7AC}" type="sibTrans" cxnId="{EBE2040D-3409-464E-AAAE-EDA89D4E22FB}">
      <dgm:prSet/>
      <dgm:spPr/>
      <dgm:t>
        <a:bodyPr/>
        <a:lstStyle/>
        <a:p>
          <a:endParaRPr lang="en-US"/>
        </a:p>
      </dgm:t>
    </dgm:pt>
    <dgm:pt modelId="{496CC15E-7FB5-4263-8117-ADAF6B946A99}">
      <dgm:prSet phldrT="[Text]"/>
      <dgm:spPr/>
      <dgm:t>
        <a:bodyPr/>
        <a:lstStyle/>
        <a:p>
          <a:r>
            <a:rPr lang="en-US" b="1">
              <a:solidFill>
                <a:srgbClr val="C00000"/>
              </a:solidFill>
            </a:rPr>
            <a:t>This is the focus of our study</a:t>
          </a:r>
        </a:p>
      </dgm:t>
    </dgm:pt>
    <dgm:pt modelId="{ABC4DB9D-077A-4D19-9AE7-742712ECCD68}" type="parTrans" cxnId="{3A24F8AC-CF25-43BA-9989-C71C71627718}">
      <dgm:prSet/>
      <dgm:spPr/>
    </dgm:pt>
    <dgm:pt modelId="{1B30B263-BED1-4307-9077-C435F4AE9990}" type="sibTrans" cxnId="{3A24F8AC-CF25-43BA-9989-C71C71627718}">
      <dgm:prSet/>
      <dgm:spPr/>
    </dgm:pt>
    <dgm:pt modelId="{D65D5412-D9D5-E54A-9202-BAC965348EA9}" type="pres">
      <dgm:prSet presAssocID="{93F7B0D6-2A03-504E-BC48-39A96EE4B972}" presName="rootnode" presStyleCnt="0">
        <dgm:presLayoutVars>
          <dgm:chMax/>
          <dgm:chPref/>
          <dgm:dir/>
          <dgm:animLvl val="lvl"/>
        </dgm:presLayoutVars>
      </dgm:prSet>
      <dgm:spPr/>
    </dgm:pt>
    <dgm:pt modelId="{AB4F8E0D-A095-F146-9F28-A68E6603BD7D}" type="pres">
      <dgm:prSet presAssocID="{E20F2A1B-E5F9-C441-86A0-CCF8F470A84D}" presName="composite" presStyleCnt="0"/>
      <dgm:spPr/>
    </dgm:pt>
    <dgm:pt modelId="{958BC387-469C-E347-BFC8-EFB15632BC47}" type="pres">
      <dgm:prSet presAssocID="{E20F2A1B-E5F9-C441-86A0-CCF8F470A84D}" presName="bentUpArrow1" presStyleLbl="alignImgPlace1" presStyleIdx="0" presStyleCnt="2"/>
      <dgm:spPr/>
    </dgm:pt>
    <dgm:pt modelId="{0DB3C478-E942-DC44-A892-2ADC4A61777C}" type="pres">
      <dgm:prSet presAssocID="{E20F2A1B-E5F9-C441-86A0-CCF8F470A84D}" presName="ParentText" presStyleLbl="node1" presStyleIdx="0" presStyleCnt="3">
        <dgm:presLayoutVars>
          <dgm:chMax val="1"/>
          <dgm:chPref val="1"/>
          <dgm:bulletEnabled val="1"/>
        </dgm:presLayoutVars>
      </dgm:prSet>
      <dgm:spPr/>
    </dgm:pt>
    <dgm:pt modelId="{9FFED416-823D-5648-A68A-8937BBFE58CD}" type="pres">
      <dgm:prSet presAssocID="{E20F2A1B-E5F9-C441-86A0-CCF8F470A84D}" presName="ChildText" presStyleLbl="revTx" presStyleIdx="0" presStyleCnt="3" custScaleX="241511" custLinFactNeighborX="80687" custLinFactNeighborY="-3807">
        <dgm:presLayoutVars>
          <dgm:chMax val="0"/>
          <dgm:chPref val="0"/>
          <dgm:bulletEnabled val="1"/>
        </dgm:presLayoutVars>
      </dgm:prSet>
      <dgm:spPr/>
    </dgm:pt>
    <dgm:pt modelId="{8E1FDCDC-9735-9146-86E0-01F39FD30B77}" type="pres">
      <dgm:prSet presAssocID="{7A8FDEF6-E8BC-8B4D-A25B-D639A3AF1005}" presName="sibTrans" presStyleCnt="0"/>
      <dgm:spPr/>
    </dgm:pt>
    <dgm:pt modelId="{5FCD1CB8-0C43-5747-96E7-C271DB0D3AA4}" type="pres">
      <dgm:prSet presAssocID="{FE58414B-EA90-AA48-8131-5D872C229546}" presName="composite" presStyleCnt="0"/>
      <dgm:spPr/>
    </dgm:pt>
    <dgm:pt modelId="{F4D2DC9A-C7AA-664A-9DB7-920DC7EF1AB8}" type="pres">
      <dgm:prSet presAssocID="{FE58414B-EA90-AA48-8131-5D872C229546}" presName="bentUpArrow1" presStyleLbl="alignImgPlace1" presStyleIdx="1" presStyleCnt="2"/>
      <dgm:spPr/>
    </dgm:pt>
    <dgm:pt modelId="{A887A893-84FA-AC40-860A-F4EBC20A7BBB}" type="pres">
      <dgm:prSet presAssocID="{FE58414B-EA90-AA48-8131-5D872C229546}" presName="ParentText" presStyleLbl="node1" presStyleIdx="1" presStyleCnt="3">
        <dgm:presLayoutVars>
          <dgm:chMax val="1"/>
          <dgm:chPref val="1"/>
          <dgm:bulletEnabled val="1"/>
        </dgm:presLayoutVars>
      </dgm:prSet>
      <dgm:spPr/>
    </dgm:pt>
    <dgm:pt modelId="{089E2D9F-FDDF-9842-8254-AE29F6C42644}" type="pres">
      <dgm:prSet presAssocID="{FE58414B-EA90-AA48-8131-5D872C229546}" presName="ChildText" presStyleLbl="revTx" presStyleIdx="1" presStyleCnt="3" custScaleX="263806" custLinFactNeighborX="83648" custLinFactNeighborY="1903">
        <dgm:presLayoutVars>
          <dgm:chMax val="0"/>
          <dgm:chPref val="0"/>
          <dgm:bulletEnabled val="1"/>
        </dgm:presLayoutVars>
      </dgm:prSet>
      <dgm:spPr/>
    </dgm:pt>
    <dgm:pt modelId="{396F7F07-B6E7-7643-8BD6-66CFD9D7EC69}" type="pres">
      <dgm:prSet presAssocID="{4DB5EB0D-2A6F-3C49-867A-677D8AADA944}" presName="sibTrans" presStyleCnt="0"/>
      <dgm:spPr/>
    </dgm:pt>
    <dgm:pt modelId="{8A7247AC-A4D0-8741-B54A-A7F086E509A5}" type="pres">
      <dgm:prSet presAssocID="{6AE9B32A-3BF2-F049-A7F7-4C2CC1C943F9}" presName="composite" presStyleCnt="0"/>
      <dgm:spPr/>
    </dgm:pt>
    <dgm:pt modelId="{4E8943F9-49BE-F84C-B56B-73F303148790}" type="pres">
      <dgm:prSet presAssocID="{6AE9B32A-3BF2-F049-A7F7-4C2CC1C943F9}" presName="ParentText" presStyleLbl="node1" presStyleIdx="2" presStyleCnt="3">
        <dgm:presLayoutVars>
          <dgm:chMax val="1"/>
          <dgm:chPref val="1"/>
          <dgm:bulletEnabled val="1"/>
        </dgm:presLayoutVars>
      </dgm:prSet>
      <dgm:spPr/>
    </dgm:pt>
    <dgm:pt modelId="{B6ABECAC-E02E-2644-B43A-5A674BC8BAE4}" type="pres">
      <dgm:prSet presAssocID="{6AE9B32A-3BF2-F049-A7F7-4C2CC1C943F9}" presName="FinalChildText" presStyleLbl="revTx" presStyleIdx="2" presStyleCnt="3" custScaleX="143301" custLinFactNeighborX="23688" custLinFactNeighborY="1903">
        <dgm:presLayoutVars>
          <dgm:chMax val="0"/>
          <dgm:chPref val="0"/>
          <dgm:bulletEnabled val="1"/>
        </dgm:presLayoutVars>
      </dgm:prSet>
      <dgm:spPr/>
    </dgm:pt>
  </dgm:ptLst>
  <dgm:cxnLst>
    <dgm:cxn modelId="{EBE2040D-3409-464E-AAAE-EDA89D4E22FB}" srcId="{FE58414B-EA90-AA48-8131-5D872C229546}" destId="{7C778E46-EC72-BA40-9134-3DCFE05225FE}" srcOrd="2" destOrd="0" parTransId="{9B9953E7-C5BE-7F42-9027-B90A42C3F05E}" sibTransId="{C8E4EF83-37D7-D24D-ACAE-42E4F58CE7AC}"/>
    <dgm:cxn modelId="{25CB4213-ADC0-8645-A374-AF12D4482695}" type="presOf" srcId="{7B36ED59-BF8D-DB46-A8FF-3F5A130EC95D}" destId="{9FFED416-823D-5648-A68A-8937BBFE58CD}" srcOrd="0" destOrd="0" presId="urn:microsoft.com/office/officeart/2005/8/layout/StepDownProcess"/>
    <dgm:cxn modelId="{23150617-B433-6643-B5CF-B5ED086C6D21}" type="presOf" srcId="{6AE9B32A-3BF2-F049-A7F7-4C2CC1C943F9}" destId="{4E8943F9-49BE-F84C-B56B-73F303148790}" srcOrd="0" destOrd="0" presId="urn:microsoft.com/office/officeart/2005/8/layout/StepDownProcess"/>
    <dgm:cxn modelId="{4354151E-C882-DD46-8CCE-E1DE239D859A}" srcId="{93F7B0D6-2A03-504E-BC48-39A96EE4B972}" destId="{6AE9B32A-3BF2-F049-A7F7-4C2CC1C943F9}" srcOrd="2" destOrd="0" parTransId="{CB21E667-D8E5-F340-92C3-761CEDEDD6E0}" sibTransId="{7C5C4DC6-53A1-D341-B677-44005159465D}"/>
    <dgm:cxn modelId="{9CB1B733-B9A9-244B-8AA8-377273F0A1B5}" srcId="{6AE9B32A-3BF2-F049-A7F7-4C2CC1C943F9}" destId="{6652D96F-2EF7-8F4E-9841-A667D485FF0D}" srcOrd="0" destOrd="0" parTransId="{7888EAE1-003C-DD4A-AAD9-E85BB93DA36D}" sibTransId="{FDB9C483-4BAA-2A49-9669-5F9203BE05D4}"/>
    <dgm:cxn modelId="{99DEE084-AD1D-7548-A8F7-81E46D8FC8A6}" type="presOf" srcId="{E20F2A1B-E5F9-C441-86A0-CCF8F470A84D}" destId="{0DB3C478-E942-DC44-A892-2ADC4A61777C}" srcOrd="0" destOrd="0" presId="urn:microsoft.com/office/officeart/2005/8/layout/StepDownProcess"/>
    <dgm:cxn modelId="{7CF64393-034A-1D43-9153-F8B509D66017}" type="presOf" srcId="{6652D96F-2EF7-8F4E-9841-A667D485FF0D}" destId="{B6ABECAC-E02E-2644-B43A-5A674BC8BAE4}" srcOrd="0" destOrd="0" presId="urn:microsoft.com/office/officeart/2005/8/layout/StepDownProcess"/>
    <dgm:cxn modelId="{A3586296-AD81-43F6-9F58-2CE71D41C912}" type="presOf" srcId="{496CC15E-7FB5-4263-8117-ADAF6B946A99}" destId="{089E2D9F-FDDF-9842-8254-AE29F6C42644}" srcOrd="0" destOrd="0" presId="urn:microsoft.com/office/officeart/2005/8/layout/StepDownProcess"/>
    <dgm:cxn modelId="{DE1E9EA4-A3C5-4E44-BF00-987EED5178D1}" srcId="{93F7B0D6-2A03-504E-BC48-39A96EE4B972}" destId="{FE58414B-EA90-AA48-8131-5D872C229546}" srcOrd="1" destOrd="0" parTransId="{190A563D-A22C-A74E-A925-0BDEBE384CDD}" sibTransId="{4DB5EB0D-2A6F-3C49-867A-677D8AADA944}"/>
    <dgm:cxn modelId="{0CBBF5AB-3924-7442-BF86-4DB631D1A5AE}" type="presOf" srcId="{93F7B0D6-2A03-504E-BC48-39A96EE4B972}" destId="{D65D5412-D9D5-E54A-9202-BAC965348EA9}" srcOrd="0" destOrd="0" presId="urn:microsoft.com/office/officeart/2005/8/layout/StepDownProcess"/>
    <dgm:cxn modelId="{3A24F8AC-CF25-43BA-9989-C71C71627718}" srcId="{FE58414B-EA90-AA48-8131-5D872C229546}" destId="{496CC15E-7FB5-4263-8117-ADAF6B946A99}" srcOrd="0" destOrd="0" parTransId="{ABC4DB9D-077A-4D19-9AE7-742712ECCD68}" sibTransId="{1B30B263-BED1-4307-9077-C435F4AE9990}"/>
    <dgm:cxn modelId="{39F16CC9-E5EA-FD44-932B-90BA19310444}" srcId="{93F7B0D6-2A03-504E-BC48-39A96EE4B972}" destId="{E20F2A1B-E5F9-C441-86A0-CCF8F470A84D}" srcOrd="0" destOrd="0" parTransId="{60F6FD82-A1EC-C345-B961-C340A19867F8}" sibTransId="{7A8FDEF6-E8BC-8B4D-A25B-D639A3AF1005}"/>
    <dgm:cxn modelId="{3F2FF5F0-3442-EC4C-8834-748BDAE5C790}" srcId="{FE58414B-EA90-AA48-8131-5D872C229546}" destId="{A6FC4328-B229-9A4B-95A8-A7FA56D4A31B}" srcOrd="1" destOrd="0" parTransId="{3F7ABE68-C853-1A40-B23F-9DC7B6B0BE0E}" sibTransId="{B34E3416-18AC-2347-90DA-8A2A0F8CFE1A}"/>
    <dgm:cxn modelId="{5F5959F3-0A86-1F4D-BF3C-BFB88864F0CA}" type="presOf" srcId="{A6FC4328-B229-9A4B-95A8-A7FA56D4A31B}" destId="{089E2D9F-FDDF-9842-8254-AE29F6C42644}" srcOrd="0" destOrd="1" presId="urn:microsoft.com/office/officeart/2005/8/layout/StepDownProcess"/>
    <dgm:cxn modelId="{6094B9F3-5DA1-5549-9664-4DCD84ABC0F9}" type="presOf" srcId="{FE58414B-EA90-AA48-8131-5D872C229546}" destId="{A887A893-84FA-AC40-860A-F4EBC20A7BBB}" srcOrd="0" destOrd="0" presId="urn:microsoft.com/office/officeart/2005/8/layout/StepDownProcess"/>
    <dgm:cxn modelId="{2CF417F6-885E-B245-8E67-87CA39B4AD1D}" srcId="{E20F2A1B-E5F9-C441-86A0-CCF8F470A84D}" destId="{7B36ED59-BF8D-DB46-A8FF-3F5A130EC95D}" srcOrd="0" destOrd="0" parTransId="{B8943E1F-7D1D-C14F-819C-FE34E9FA4CFB}" sibTransId="{FA5A8780-2DED-A441-AC4F-6E15CD3A58CA}"/>
    <dgm:cxn modelId="{D9794BF9-79A0-8844-B99B-5931A2650CE7}" type="presOf" srcId="{7C778E46-EC72-BA40-9134-3DCFE05225FE}" destId="{089E2D9F-FDDF-9842-8254-AE29F6C42644}" srcOrd="0" destOrd="2" presId="urn:microsoft.com/office/officeart/2005/8/layout/StepDownProcess"/>
    <dgm:cxn modelId="{B2842915-A136-AE48-B933-C872E3260EE6}" type="presParOf" srcId="{D65D5412-D9D5-E54A-9202-BAC965348EA9}" destId="{AB4F8E0D-A095-F146-9F28-A68E6603BD7D}" srcOrd="0" destOrd="0" presId="urn:microsoft.com/office/officeart/2005/8/layout/StepDownProcess"/>
    <dgm:cxn modelId="{7F326F3E-749A-B04D-A16D-1F636AFB42B1}" type="presParOf" srcId="{AB4F8E0D-A095-F146-9F28-A68E6603BD7D}" destId="{958BC387-469C-E347-BFC8-EFB15632BC47}" srcOrd="0" destOrd="0" presId="urn:microsoft.com/office/officeart/2005/8/layout/StepDownProcess"/>
    <dgm:cxn modelId="{4502FECD-E8FB-7145-89CA-F9E29C6C6941}" type="presParOf" srcId="{AB4F8E0D-A095-F146-9F28-A68E6603BD7D}" destId="{0DB3C478-E942-DC44-A892-2ADC4A61777C}" srcOrd="1" destOrd="0" presId="urn:microsoft.com/office/officeart/2005/8/layout/StepDownProcess"/>
    <dgm:cxn modelId="{A0FF77B3-EBEF-4B40-BDF7-5159142BBCAF}" type="presParOf" srcId="{AB4F8E0D-A095-F146-9F28-A68E6603BD7D}" destId="{9FFED416-823D-5648-A68A-8937BBFE58CD}" srcOrd="2" destOrd="0" presId="urn:microsoft.com/office/officeart/2005/8/layout/StepDownProcess"/>
    <dgm:cxn modelId="{B999379A-3C8F-5D44-87C5-37335D46E8D0}" type="presParOf" srcId="{D65D5412-D9D5-E54A-9202-BAC965348EA9}" destId="{8E1FDCDC-9735-9146-86E0-01F39FD30B77}" srcOrd="1" destOrd="0" presId="urn:microsoft.com/office/officeart/2005/8/layout/StepDownProcess"/>
    <dgm:cxn modelId="{682CEFD7-E316-4349-8155-1F8C5B313A41}" type="presParOf" srcId="{D65D5412-D9D5-E54A-9202-BAC965348EA9}" destId="{5FCD1CB8-0C43-5747-96E7-C271DB0D3AA4}" srcOrd="2" destOrd="0" presId="urn:microsoft.com/office/officeart/2005/8/layout/StepDownProcess"/>
    <dgm:cxn modelId="{49464244-F309-C144-9143-3A1AEB985AD6}" type="presParOf" srcId="{5FCD1CB8-0C43-5747-96E7-C271DB0D3AA4}" destId="{F4D2DC9A-C7AA-664A-9DB7-920DC7EF1AB8}" srcOrd="0" destOrd="0" presId="urn:microsoft.com/office/officeart/2005/8/layout/StepDownProcess"/>
    <dgm:cxn modelId="{CC2AE3CA-EF14-5344-8A89-EE8F094306FC}" type="presParOf" srcId="{5FCD1CB8-0C43-5747-96E7-C271DB0D3AA4}" destId="{A887A893-84FA-AC40-860A-F4EBC20A7BBB}" srcOrd="1" destOrd="0" presId="urn:microsoft.com/office/officeart/2005/8/layout/StepDownProcess"/>
    <dgm:cxn modelId="{A8332B83-F45C-684A-AB1A-098F5F563DB5}" type="presParOf" srcId="{5FCD1CB8-0C43-5747-96E7-C271DB0D3AA4}" destId="{089E2D9F-FDDF-9842-8254-AE29F6C42644}" srcOrd="2" destOrd="0" presId="urn:microsoft.com/office/officeart/2005/8/layout/StepDownProcess"/>
    <dgm:cxn modelId="{5E354BC7-E1D5-F144-B7C5-A4CFC24C2EB1}" type="presParOf" srcId="{D65D5412-D9D5-E54A-9202-BAC965348EA9}" destId="{396F7F07-B6E7-7643-8BD6-66CFD9D7EC69}" srcOrd="3" destOrd="0" presId="urn:microsoft.com/office/officeart/2005/8/layout/StepDownProcess"/>
    <dgm:cxn modelId="{D6367C89-176B-2341-976A-391995C6ADC8}" type="presParOf" srcId="{D65D5412-D9D5-E54A-9202-BAC965348EA9}" destId="{8A7247AC-A4D0-8741-B54A-A7F086E509A5}" srcOrd="4" destOrd="0" presId="urn:microsoft.com/office/officeart/2005/8/layout/StepDownProcess"/>
    <dgm:cxn modelId="{1CA413F1-1538-7B4B-9E63-2733CA0D53CA}" type="presParOf" srcId="{8A7247AC-A4D0-8741-B54A-A7F086E509A5}" destId="{4E8943F9-49BE-F84C-B56B-73F303148790}" srcOrd="0" destOrd="0" presId="urn:microsoft.com/office/officeart/2005/8/layout/StepDownProcess"/>
    <dgm:cxn modelId="{3062B975-B0CF-AD46-BD8D-BF1F3E05D8E8}" type="presParOf" srcId="{8A7247AC-A4D0-8741-B54A-A7F086E509A5}" destId="{B6ABECAC-E02E-2644-B43A-5A674BC8BAE4}" srcOrd="1" destOrd="0" presId="urn:microsoft.com/office/officeart/2005/8/layout/StepDownProcess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58BC387-469C-E347-BFC8-EFB15632BC47}">
      <dsp:nvSpPr>
        <dsp:cNvPr id="0" name=""/>
        <dsp:cNvSpPr/>
      </dsp:nvSpPr>
      <dsp:spPr>
        <a:xfrm rot="5400000">
          <a:off x="226663" y="673241"/>
          <a:ext cx="595424" cy="677869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DB3C478-E942-DC44-A892-2ADC4A61777C}">
      <dsp:nvSpPr>
        <dsp:cNvPr id="0" name=""/>
        <dsp:cNvSpPr/>
      </dsp:nvSpPr>
      <dsp:spPr>
        <a:xfrm>
          <a:off x="68912" y="13201"/>
          <a:ext cx="1002344" cy="701608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Baseline survey</a:t>
          </a:r>
        </a:p>
      </dsp:txBody>
      <dsp:txXfrm>
        <a:off x="103168" y="47457"/>
        <a:ext cx="933832" cy="633096"/>
      </dsp:txXfrm>
    </dsp:sp>
    <dsp:sp modelId="{9FFED416-823D-5648-A68A-8937BBFE58CD}">
      <dsp:nvSpPr>
        <dsp:cNvPr id="0" name=""/>
        <dsp:cNvSpPr/>
      </dsp:nvSpPr>
      <dsp:spPr>
        <a:xfrm>
          <a:off x="1143658" y="58527"/>
          <a:ext cx="1760638" cy="56707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/>
            <a:t>Manager and RN assign survey schedule based on treatment plan</a:t>
          </a:r>
        </a:p>
      </dsp:txBody>
      <dsp:txXfrm>
        <a:off x="1143658" y="58527"/>
        <a:ext cx="1760638" cy="567070"/>
      </dsp:txXfrm>
    </dsp:sp>
    <dsp:sp modelId="{F4D2DC9A-C7AA-664A-9DB7-920DC7EF1AB8}">
      <dsp:nvSpPr>
        <dsp:cNvPr id="0" name=""/>
        <dsp:cNvSpPr/>
      </dsp:nvSpPr>
      <dsp:spPr>
        <a:xfrm rot="5400000">
          <a:off x="1305304" y="1461379"/>
          <a:ext cx="595424" cy="677869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887A893-84FA-AC40-860A-F4EBC20A7BBB}">
      <dsp:nvSpPr>
        <dsp:cNvPr id="0" name=""/>
        <dsp:cNvSpPr/>
      </dsp:nvSpPr>
      <dsp:spPr>
        <a:xfrm>
          <a:off x="1147553" y="801339"/>
          <a:ext cx="1002344" cy="701608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rgbClr val="FFFF00"/>
              </a:solidFill>
            </a:rPr>
            <a:t>Surveys during treatment</a:t>
          </a:r>
        </a:p>
      </dsp:txBody>
      <dsp:txXfrm>
        <a:off x="1181809" y="835595"/>
        <a:ext cx="933832" cy="633096"/>
      </dsp:txXfrm>
    </dsp:sp>
    <dsp:sp modelId="{089E2D9F-FDDF-9842-8254-AE29F6C42644}">
      <dsp:nvSpPr>
        <dsp:cNvPr id="0" name=""/>
        <dsp:cNvSpPr/>
      </dsp:nvSpPr>
      <dsp:spPr>
        <a:xfrm>
          <a:off x="2162618" y="879045"/>
          <a:ext cx="1923171" cy="56707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b="1" kern="1200">
              <a:solidFill>
                <a:srgbClr val="C00000"/>
              </a:solidFill>
            </a:rPr>
            <a:t>This is the focus of our study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/>
            <a:t>a) Every 1 week during RT+/- chemo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/>
            <a:t>b) surgery go directly to surveillance schedule</a:t>
          </a:r>
        </a:p>
      </dsp:txBody>
      <dsp:txXfrm>
        <a:off x="2162618" y="879045"/>
        <a:ext cx="1923171" cy="567070"/>
      </dsp:txXfrm>
    </dsp:sp>
    <dsp:sp modelId="{4E8943F9-49BE-F84C-B56B-73F303148790}">
      <dsp:nvSpPr>
        <dsp:cNvPr id="0" name=""/>
        <dsp:cNvSpPr/>
      </dsp:nvSpPr>
      <dsp:spPr>
        <a:xfrm>
          <a:off x="2226194" y="1589477"/>
          <a:ext cx="1002344" cy="701608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Surveys during </a:t>
          </a:r>
          <a:r>
            <a:rPr lang="en-US" sz="1200" kern="1200">
              <a:solidFill>
                <a:schemeClr val="accent6">
                  <a:lumMod val="20000"/>
                  <a:lumOff val="80000"/>
                </a:schemeClr>
              </a:solidFill>
            </a:rPr>
            <a:t>surveillance</a:t>
          </a:r>
        </a:p>
      </dsp:txBody>
      <dsp:txXfrm>
        <a:off x="2260450" y="1623733"/>
        <a:ext cx="933832" cy="633096"/>
      </dsp:txXfrm>
    </dsp:sp>
    <dsp:sp modelId="{B6ABECAC-E02E-2644-B43A-5A674BC8BAE4}">
      <dsp:nvSpPr>
        <dsp:cNvPr id="0" name=""/>
        <dsp:cNvSpPr/>
      </dsp:nvSpPr>
      <dsp:spPr>
        <a:xfrm>
          <a:off x="3139616" y="1667183"/>
          <a:ext cx="1044678" cy="56707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/>
            <a:t>every 3-6 months to coorespond with ENT f/u visits</a:t>
          </a:r>
        </a:p>
      </dsp:txBody>
      <dsp:txXfrm>
        <a:off x="3139616" y="1667183"/>
        <a:ext cx="1044678" cy="5670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StepDownProcess">
  <dgm:title val=""/>
  <dgm:desc val=""/>
  <dgm:catLst>
    <dgm:cat type="process" pri="16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  <dgm:cxn modelId="8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t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t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hoose name="Name3">
      <dgm:if name="Name4" func="var" arg="dir" op="equ" val="norm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if>
      <dgm:else name="Name5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else>
    </dgm:choose>
    <dgm:forEach name="nodesForEach" axis="ch" ptType="node">
      <dgm:layoutNode name="composite">
        <dgm:alg type="composite">
          <dgm:param type="ar" val="1.2439"/>
        </dgm:alg>
        <dgm:shape xmlns:r="http://schemas.openxmlformats.org/officeDocument/2006/relationships" r:blip="">
          <dgm:adjLst/>
        </dgm:shape>
        <dgm:choose name="Name6">
          <dgm:if name="Name7" func="var" arg="dir" op="equ" val="norm">
            <dgm:constrLst>
              <dgm:constr type="l" for="ch" forName="bentUpArrow1" refType="w" fact="0.0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refFor="ch" refForName="ParentText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refFor="ch" refForName="ParentText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if>
          <dgm:else name="Name8">
            <dgm:constrLst>
              <dgm:constr type="r" for="ch" forName="bentUpArrow1" refType="w" fact="0.9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.4316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fact="0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fact="0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else>
        </dgm:choose>
        <dgm:choose name="Name9">
          <dgm:if name="Name10" axis="followSib" ptType="node" func="cnt" op="gte" val="1">
            <dgm:layoutNode name="bentUpArrow1" styleLbl="alignImgPlace1">
              <dgm:alg type="sp"/>
              <dgm:choose name="Name11">
                <dgm:if name="Name12" func="var" arg="dir" op="equ" val="norm">
                  <dgm:shape xmlns:r="http://schemas.openxmlformats.org/officeDocument/2006/relationships" rot="90" type="bentUpArrow" r:blip="">
                    <dgm:adjLst>
                      <dgm:adj idx="1" val="0.3284"/>
                      <dgm:adj idx="2" val="0.25"/>
                      <dgm:adj idx="3" val="0.3578"/>
                    </dgm:adjLst>
                  </dgm:shape>
                </dgm:if>
                <dgm:else name="Name13">
                  <dgm:shape xmlns:r="http://schemas.openxmlformats.org/officeDocument/2006/relationships" rot="180" type="bentArrow" r:blip="">
                    <dgm:adjLst>
                      <dgm:adj idx="1" val="0.3284"/>
                      <dgm:adj idx="2" val="0.25"/>
                      <dgm:adj idx="3" val="0.3578"/>
                      <dgm:adj idx="4" val="0"/>
                    </dgm:adjLst>
                  </dgm:shape>
                </dgm:else>
              </dgm:choose>
              <dgm:presOf/>
            </dgm:layoutNode>
          </dgm:if>
          <dgm:else name="Name14"/>
        </dgm:choose>
        <dgm:layoutNode name="ParentText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66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15">
          <dgm:if name="Name16" axis="followSib" ptType="node" func="cnt" op="equ" val="0">
            <dgm:choose name="Name17">
              <dgm:if name="Name18" axis="ch" ptType="node" func="cnt" op="gte" val="1">
                <dgm:layoutNode name="FinalChildText" styleLbl="revTx">
                  <dgm:varLst>
                    <dgm:chMax val="0"/>
                    <dgm:chPref val="0"/>
                    <dgm:bulletEnabled val="1"/>
                  </dgm:varLst>
                  <dgm:alg type="tx">
                    <dgm:param type="stBulletLvl" val="1"/>
                    <dgm:param type="txAnchorVertCh" val="mid"/>
                    <dgm:param type="parTxLTRAlign" val="l"/>
                  </dgm:alg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9"/>
            </dgm:choose>
          </dgm:if>
          <dgm:else name="Name20">
            <dgm:layoutNode name="ChildText" styleLbl="revTx">
              <dgm:varLst>
                <dgm:chMax val="0"/>
                <dgm:chPref val="0"/>
                <dgm:bulletEnabled val="1"/>
              </dgm:varLst>
              <dgm:alg type="tx">
                <dgm:param type="stBulletLvl" val="1"/>
                <dgm:param type="txAnchorVertCh" val="mid"/>
                <dgm:param type="parTxLTRAlign" val="l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else>
        </dgm:choos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7FAD6358FF44797152258F9FF7A83" ma:contentTypeVersion="1" ma:contentTypeDescription="Create a new document." ma:contentTypeScope="" ma:versionID="fe005cc003bb5b4080769400e5f531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4BCFE36-DDFA-443B-918A-18E2764006FF}"/>
</file>

<file path=customXml/itemProps2.xml><?xml version="1.0" encoding="utf-8"?>
<ds:datastoreItem xmlns:ds="http://schemas.openxmlformats.org/officeDocument/2006/customXml" ds:itemID="{422B8E45-4B7B-44CA-883D-6EABF409C33D}"/>
</file>

<file path=customXml/itemProps3.xml><?xml version="1.0" encoding="utf-8"?>
<ds:datastoreItem xmlns:ds="http://schemas.openxmlformats.org/officeDocument/2006/customXml" ds:itemID="{AC888A28-5B10-48BE-B8D6-480C75C53C8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Cimone E Parker</dc:creator>
  <cp:keywords/>
  <dc:description/>
  <cp:lastModifiedBy>Douglas A Corley</cp:lastModifiedBy>
  <cp:revision>3</cp:revision>
  <dcterms:created xsi:type="dcterms:W3CDTF">2020-12-21T22:56:00Z</dcterms:created>
  <dcterms:modified xsi:type="dcterms:W3CDTF">2021-03-15T00:27:58Z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0x0101000FA7FAD6358FF44797152258F9FF7A83</vt:lpwstr>
  </property>
</Properties>
</file>