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12DC" w14:textId="54A5A97B" w:rsidR="1A557A28" w:rsidRDefault="00A53842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Electronic Decision Support Safely Reduces Objective Cardiac Testing among Emergency Department Patients with Chest Pain at Low Risk of Major Adverse Cardiac Events</w:t>
      </w:r>
    </w:p>
    <w:p w14:paraId="704D3AAF" w14:textId="2F1618FE" w:rsidR="00A53842" w:rsidRPr="00172D71" w:rsidRDefault="00A53842" w:rsidP="00A53842">
      <w:pPr>
        <w:spacing w:line="240" w:lineRule="auto"/>
        <w:rPr>
          <w:rFonts w:cstheme="minorHAnsi"/>
          <w:sz w:val="20"/>
          <w:szCs w:val="20"/>
        </w:rPr>
      </w:pPr>
      <w:r w:rsidRPr="00172D71">
        <w:rPr>
          <w:rFonts w:cstheme="minorHAnsi"/>
          <w:sz w:val="20"/>
          <w:szCs w:val="20"/>
        </w:rPr>
        <w:t xml:space="preserve">Dustin Mark, MD; </w:t>
      </w:r>
      <w:proofErr w:type="spellStart"/>
      <w:r w:rsidRPr="00172D71">
        <w:rPr>
          <w:rFonts w:cstheme="minorHAnsi"/>
          <w:sz w:val="20"/>
          <w:szCs w:val="20"/>
        </w:rPr>
        <w:t>Jie</w:t>
      </w:r>
      <w:proofErr w:type="spellEnd"/>
      <w:r w:rsidRPr="00172D71">
        <w:rPr>
          <w:rFonts w:cstheme="minorHAnsi"/>
          <w:sz w:val="20"/>
          <w:szCs w:val="20"/>
        </w:rPr>
        <w:t xml:space="preserve"> Huang, PhD; Mamata Kene MD, MPH; Dana Sax, MD, MPH; Dale Cotton, MD; James Lin, MD; Sean Bouvet, MD; </w:t>
      </w:r>
      <w:proofErr w:type="spellStart"/>
      <w:r w:rsidRPr="00172D71">
        <w:rPr>
          <w:rFonts w:cstheme="minorHAnsi"/>
          <w:sz w:val="20"/>
          <w:szCs w:val="20"/>
        </w:rPr>
        <w:t>Uli</w:t>
      </w:r>
      <w:proofErr w:type="spellEnd"/>
      <w:r w:rsidRPr="00172D71">
        <w:rPr>
          <w:rFonts w:cstheme="minorHAnsi"/>
          <w:sz w:val="20"/>
          <w:szCs w:val="20"/>
        </w:rPr>
        <w:t xml:space="preserve"> </w:t>
      </w:r>
      <w:proofErr w:type="spellStart"/>
      <w:r w:rsidRPr="00172D71">
        <w:rPr>
          <w:rFonts w:cstheme="minorHAnsi"/>
          <w:sz w:val="20"/>
          <w:szCs w:val="20"/>
        </w:rPr>
        <w:t>Chettipally</w:t>
      </w:r>
      <w:proofErr w:type="spellEnd"/>
      <w:r w:rsidRPr="00172D71">
        <w:rPr>
          <w:rFonts w:cstheme="minorHAnsi"/>
          <w:sz w:val="20"/>
          <w:szCs w:val="20"/>
        </w:rPr>
        <w:t>, MD, MPH; Megan Anderson, MD; Ian McLachlan, MD; Laura Simon, BA; Judy Shan, BS; Adina Rauchwerger, MPH; David Vinson, MD; Dustin Ballard, MD, MBE; Mary Reed, DrP</w:t>
      </w:r>
      <w:r w:rsidR="0023703A">
        <w:rPr>
          <w:rFonts w:cstheme="minorHAnsi"/>
          <w:sz w:val="20"/>
          <w:szCs w:val="20"/>
        </w:rPr>
        <w:t>H for the KP CREST Network Investigators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69"/>
        <w:gridCol w:w="6"/>
        <w:gridCol w:w="8730"/>
      </w:tblGrid>
      <w:tr w:rsidR="0048655A" w:rsidRPr="008A7C90" w14:paraId="307289BF" w14:textId="77777777" w:rsidTr="00AB376F">
        <w:trPr>
          <w:trHeight w:val="816"/>
        </w:trPr>
        <w:tc>
          <w:tcPr>
            <w:tcW w:w="1969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6" w:type="dxa"/>
            <w:gridSpan w:val="2"/>
          </w:tcPr>
          <w:p w14:paraId="7F9273D4" w14:textId="434C7F6A" w:rsidR="0048655A" w:rsidRPr="0031051B" w:rsidRDefault="00A53842" w:rsidP="0048655A">
            <w:pPr>
              <w:spacing w:line="259" w:lineRule="auto"/>
              <w:rPr>
                <w:b/>
                <w:bCs/>
              </w:rPr>
            </w:pPr>
            <w:r w:rsidRPr="6361D76B">
              <w:rPr>
                <w:b/>
                <w:bCs/>
              </w:rPr>
              <w:t>Objective cardiac testing is common after emergency department</w:t>
            </w:r>
            <w:r w:rsidR="0077377F" w:rsidRPr="6361D76B">
              <w:rPr>
                <w:b/>
                <w:bCs/>
              </w:rPr>
              <w:t xml:space="preserve"> (ED)</w:t>
            </w:r>
            <w:r w:rsidRPr="6361D76B">
              <w:rPr>
                <w:b/>
                <w:bCs/>
              </w:rPr>
              <w:t xml:space="preserve"> </w:t>
            </w:r>
            <w:r w:rsidR="00D06B21" w:rsidRPr="6361D76B">
              <w:rPr>
                <w:b/>
                <w:bCs/>
              </w:rPr>
              <w:t>visits for low</w:t>
            </w:r>
            <w:r w:rsidR="4E9C47E8" w:rsidRPr="6361D76B">
              <w:rPr>
                <w:b/>
                <w:bCs/>
              </w:rPr>
              <w:t>-</w:t>
            </w:r>
            <w:r w:rsidR="00D06B21" w:rsidRPr="6361D76B">
              <w:rPr>
                <w:b/>
                <w:bCs/>
              </w:rPr>
              <w:t xml:space="preserve">risk chest pain, with </w:t>
            </w:r>
            <w:r w:rsidR="0077377F" w:rsidRPr="6361D76B">
              <w:rPr>
                <w:b/>
                <w:bCs/>
              </w:rPr>
              <w:t>notable</w:t>
            </w:r>
            <w:r w:rsidR="00D06B21" w:rsidRPr="6361D76B">
              <w:rPr>
                <w:b/>
                <w:bCs/>
              </w:rPr>
              <w:t xml:space="preserve"> interfacility variation, but have not been associated with improved outcomes. Opportunities exist to better standardize evaluation </w:t>
            </w:r>
            <w:r w:rsidR="4BB4C7CC" w:rsidRPr="6361D76B">
              <w:rPr>
                <w:b/>
                <w:bCs/>
              </w:rPr>
              <w:t>performance to risk status</w:t>
            </w:r>
            <w:r w:rsidR="00D06B21" w:rsidRPr="6361D76B">
              <w:rPr>
                <w:b/>
                <w:bCs/>
              </w:rPr>
              <w:t>.</w:t>
            </w:r>
          </w:p>
        </w:tc>
      </w:tr>
      <w:tr w:rsidR="0048655A" w:rsidRPr="008A7C90" w14:paraId="67D435C8" w14:textId="77777777" w:rsidTr="00AB376F">
        <w:trPr>
          <w:trHeight w:val="1091"/>
        </w:trPr>
        <w:tc>
          <w:tcPr>
            <w:tcW w:w="1969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6" w:type="dxa"/>
            <w:gridSpan w:val="2"/>
          </w:tcPr>
          <w:p w14:paraId="70041630" w14:textId="3111BA20" w:rsidR="0048655A" w:rsidRPr="008A7C90" w:rsidRDefault="00D06B21" w:rsidP="0048655A">
            <w:pPr>
              <w:spacing w:line="259" w:lineRule="auto"/>
            </w:pPr>
            <w:r>
              <w:t xml:space="preserve">Guidelines recommend objective cardiac testing following </w:t>
            </w:r>
            <w:r w:rsidR="0077377F">
              <w:t>ED</w:t>
            </w:r>
            <w:r>
              <w:t xml:space="preserve"> visits for possible cardiac chest pain, regardless of absolute estimated risk of major adverse cardiac events</w:t>
            </w:r>
            <w:r w:rsidR="00BD4ABB">
              <w:t xml:space="preserve"> (MACE)</w:t>
            </w:r>
            <w:r>
              <w:t xml:space="preserve">. </w:t>
            </w:r>
            <w:r w:rsidR="0048655A" w:rsidRPr="008A7C90">
              <w:t xml:space="preserve"> </w:t>
            </w:r>
            <w:r>
              <w:t xml:space="preserve">Observational studies have repeatedly failed to find associated improvements in downstream outcomes among patients at low risk for adverse events with this practice. </w:t>
            </w:r>
          </w:p>
        </w:tc>
      </w:tr>
      <w:tr w:rsidR="0048655A" w:rsidRPr="008A7C90" w14:paraId="136E6453" w14:textId="77777777" w:rsidTr="00AB376F">
        <w:trPr>
          <w:trHeight w:val="262"/>
        </w:trPr>
        <w:tc>
          <w:tcPr>
            <w:tcW w:w="1969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6" w:type="dxa"/>
            <w:gridSpan w:val="2"/>
          </w:tcPr>
          <w:p w14:paraId="1486D38C" w14:textId="5512283E" w:rsidR="0048655A" w:rsidRPr="008A7C90" w:rsidRDefault="00D06B21" w:rsidP="0048655A">
            <w:pPr>
              <w:spacing w:line="259" w:lineRule="auto"/>
            </w:pPr>
            <w:r>
              <w:t xml:space="preserve">Adult patients presenting to the </w:t>
            </w:r>
            <w:r w:rsidR="0077377F">
              <w:t>KPNC EDs</w:t>
            </w:r>
            <w:r>
              <w:t xml:space="preserve"> with chest pain</w:t>
            </w:r>
          </w:p>
        </w:tc>
      </w:tr>
      <w:tr w:rsidR="0048655A" w:rsidRPr="008A7C90" w14:paraId="5B80BED5" w14:textId="77777777" w:rsidTr="00AB376F">
        <w:trPr>
          <w:trHeight w:val="276"/>
        </w:trPr>
        <w:tc>
          <w:tcPr>
            <w:tcW w:w="1969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6" w:type="dxa"/>
            <w:gridSpan w:val="2"/>
          </w:tcPr>
          <w:p w14:paraId="0CA2C589" w14:textId="7E7B18C0" w:rsidR="0048655A" w:rsidRPr="008A7C90" w:rsidRDefault="00D06B21" w:rsidP="6361D76B">
            <w:pPr>
              <w:spacing w:line="259" w:lineRule="auto"/>
              <w:rPr>
                <w:b/>
                <w:bCs/>
              </w:rPr>
            </w:pPr>
            <w:r>
              <w:t xml:space="preserve">Electronic decision support </w:t>
            </w:r>
            <w:r w:rsidR="0077377F">
              <w:t xml:space="preserve">(RISTRA-ACS) </w:t>
            </w:r>
            <w:r>
              <w:t xml:space="preserve">coupled with physician education at 13 KPNC </w:t>
            </w:r>
            <w:r w:rsidR="0077377F">
              <w:t xml:space="preserve">EDs compared to 7 control KPNC </w:t>
            </w:r>
            <w:proofErr w:type="spellStart"/>
            <w:r w:rsidR="0077377F">
              <w:t>EDs.</w:t>
            </w:r>
            <w:proofErr w:type="spellEnd"/>
            <w:r w:rsidR="0095703B">
              <w:t xml:space="preserve"> Comparison made</w:t>
            </w:r>
            <w:r w:rsidR="0077377F">
              <w:t xml:space="preserve"> in 2018-2019</w:t>
            </w:r>
            <w:r w:rsidR="0095703B">
              <w:t xml:space="preserve"> (post-intervention)</w:t>
            </w:r>
            <w:r w:rsidR="0077377F">
              <w:t xml:space="preserve"> compared to 2016-2017</w:t>
            </w:r>
            <w:r w:rsidR="0095703B">
              <w:t xml:space="preserve"> (pre-intervention)</w:t>
            </w:r>
            <w:r w:rsidR="248015C3">
              <w:t xml:space="preserve"> among low-risk patients </w:t>
            </w:r>
            <w:r w:rsidR="248015C3" w:rsidRPr="6361D76B">
              <w:rPr>
                <w:b/>
                <w:bCs/>
              </w:rPr>
              <w:t>(</w:t>
            </w:r>
            <w:r w:rsidR="248015C3" w:rsidRPr="6361D76B">
              <w:rPr>
                <w:b/>
                <w:bCs/>
                <w:u w:val="single"/>
              </w:rPr>
              <w:t>&lt;</w:t>
            </w:r>
            <w:r w:rsidR="248015C3" w:rsidRPr="6361D76B">
              <w:rPr>
                <w:b/>
                <w:bCs/>
              </w:rPr>
              <w:t xml:space="preserve"> 2% predicted risk of 60-day MACE)</w:t>
            </w:r>
          </w:p>
        </w:tc>
      </w:tr>
      <w:tr w:rsidR="0048655A" w:rsidRPr="008A7C90" w14:paraId="13978FD3" w14:textId="77777777" w:rsidTr="00AB376F">
        <w:trPr>
          <w:trHeight w:val="2025"/>
        </w:trPr>
        <w:tc>
          <w:tcPr>
            <w:tcW w:w="1969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6" w:type="dxa"/>
            <w:gridSpan w:val="2"/>
          </w:tcPr>
          <w:p w14:paraId="3CD35CB0" w14:textId="11738F2F" w:rsidR="0048655A" w:rsidRPr="00506198" w:rsidRDefault="19AE480B" w:rsidP="6361D76B">
            <w:pPr>
              <w:spacing w:line="259" w:lineRule="auto"/>
            </w:pPr>
            <w:r w:rsidRPr="523C583E">
              <w:rPr>
                <w:b/>
                <w:bCs/>
              </w:rPr>
              <w:t xml:space="preserve">Electronic decision support coupled with physician education was associated with </w:t>
            </w:r>
            <w:r w:rsidRPr="523C583E">
              <w:rPr>
                <w:b/>
                <w:bCs/>
                <w:i/>
                <w:iCs/>
                <w:u w:val="single"/>
              </w:rPr>
              <w:t>decreased</w:t>
            </w:r>
            <w:r w:rsidRPr="523C583E">
              <w:rPr>
                <w:b/>
                <w:bCs/>
                <w:i/>
                <w:iCs/>
              </w:rPr>
              <w:t xml:space="preserve"> c</w:t>
            </w:r>
            <w:r w:rsidR="0077377F" w:rsidRPr="523C583E">
              <w:rPr>
                <w:b/>
                <w:bCs/>
                <w:i/>
                <w:iCs/>
              </w:rPr>
              <w:t>ardiac testin</w:t>
            </w:r>
            <w:r w:rsidR="00BD4ABB" w:rsidRPr="523C583E">
              <w:rPr>
                <w:b/>
                <w:bCs/>
                <w:i/>
                <w:iCs/>
              </w:rPr>
              <w:t>g</w:t>
            </w:r>
            <w:r w:rsidR="0077377F" w:rsidRPr="523C583E">
              <w:rPr>
                <w:b/>
                <w:bCs/>
                <w:i/>
                <w:iCs/>
              </w:rPr>
              <w:t xml:space="preserve"> </w:t>
            </w:r>
            <w:r w:rsidR="559CF79F" w:rsidRPr="523C583E">
              <w:rPr>
                <w:b/>
                <w:bCs/>
                <w:i/>
                <w:iCs/>
              </w:rPr>
              <w:t>among low-risk chest patients</w:t>
            </w:r>
            <w:r w:rsidR="559CF79F" w:rsidRPr="523C583E">
              <w:rPr>
                <w:b/>
                <w:bCs/>
              </w:rPr>
              <w:t xml:space="preserve"> </w:t>
            </w:r>
            <w:r w:rsidR="0077377F" w:rsidRPr="523C583E">
              <w:rPr>
                <w:b/>
                <w:bCs/>
              </w:rPr>
              <w:t>within 30 days following ED visits</w:t>
            </w:r>
            <w:r w:rsidR="7F592B1C" w:rsidRPr="523C583E">
              <w:rPr>
                <w:b/>
                <w:bCs/>
              </w:rPr>
              <w:t xml:space="preserve"> </w:t>
            </w:r>
            <w:r w:rsidR="0077377F" w:rsidRPr="523C583E">
              <w:rPr>
                <w:b/>
                <w:bCs/>
              </w:rPr>
              <w:t>(absolute and</w:t>
            </w:r>
            <w:r w:rsidR="00506198" w:rsidRPr="523C583E">
              <w:rPr>
                <w:b/>
                <w:bCs/>
              </w:rPr>
              <w:t xml:space="preserve"> relative decrease</w:t>
            </w:r>
            <w:r w:rsidR="00BD4ABB" w:rsidRPr="523C583E">
              <w:rPr>
                <w:b/>
                <w:bCs/>
              </w:rPr>
              <w:t xml:space="preserve"> 2% and 8%</w:t>
            </w:r>
            <w:r w:rsidR="00506198" w:rsidRPr="523C583E">
              <w:rPr>
                <w:b/>
                <w:bCs/>
              </w:rPr>
              <w:t>, p = 0.02</w:t>
            </w:r>
            <w:r w:rsidR="48CFCAD7" w:rsidRPr="523C583E">
              <w:rPr>
                <w:b/>
                <w:bCs/>
              </w:rPr>
              <w:t>; Control sites</w:t>
            </w:r>
            <w:r w:rsidR="549BC3B9" w:rsidRPr="523C583E">
              <w:rPr>
                <w:b/>
                <w:bCs/>
              </w:rPr>
              <w:t xml:space="preserve"> vs. RISTRA-ACS</w:t>
            </w:r>
            <w:r w:rsidR="00506198" w:rsidRPr="523C583E">
              <w:rPr>
                <w:b/>
                <w:bCs/>
              </w:rPr>
              <w:t>)</w:t>
            </w:r>
            <w:r w:rsidR="2AD8730D" w:rsidRPr="523C583E">
              <w:rPr>
                <w:b/>
                <w:bCs/>
              </w:rPr>
              <w:t xml:space="preserve"> and </w:t>
            </w:r>
            <w:r w:rsidR="2AD8730D" w:rsidRPr="523C583E">
              <w:rPr>
                <w:b/>
                <w:bCs/>
                <w:i/>
                <w:iCs/>
                <w:u w:val="single"/>
              </w:rPr>
              <w:t>increase</w:t>
            </w:r>
            <w:r w:rsidR="467FABBB" w:rsidRPr="523C583E">
              <w:rPr>
                <w:b/>
                <w:bCs/>
                <w:i/>
                <w:iCs/>
                <w:u w:val="single"/>
              </w:rPr>
              <w:t>d</w:t>
            </w:r>
            <w:r w:rsidR="2AD8730D" w:rsidRPr="523C583E">
              <w:rPr>
                <w:b/>
                <w:bCs/>
                <w:i/>
                <w:iCs/>
              </w:rPr>
              <w:t xml:space="preserve"> cardiac testing among higher risk patients</w:t>
            </w:r>
            <w:r w:rsidR="2AD8730D" w:rsidRPr="523C583E">
              <w:rPr>
                <w:b/>
                <w:bCs/>
              </w:rPr>
              <w:t xml:space="preserve"> (absolute and relative increase 2.5% and 6.5%, p = 0.03</w:t>
            </w:r>
            <w:r w:rsidR="70BAC193" w:rsidRPr="523C583E">
              <w:rPr>
                <w:b/>
                <w:bCs/>
              </w:rPr>
              <w:t>; respectively</w:t>
            </w:r>
            <w:r w:rsidR="2AD8730D" w:rsidRPr="523C583E">
              <w:rPr>
                <w:b/>
                <w:bCs/>
              </w:rPr>
              <w:t>)</w:t>
            </w:r>
            <w:r w:rsidR="00506198" w:rsidRPr="523C583E">
              <w:rPr>
                <w:b/>
                <w:bCs/>
              </w:rPr>
              <w:t xml:space="preserve">. </w:t>
            </w:r>
            <w:r w:rsidR="00BD4ABB">
              <w:t xml:space="preserve"> There was no change in </w:t>
            </w:r>
            <w:r w:rsidR="3C10D729">
              <w:t>adverse events (</w:t>
            </w:r>
            <w:r w:rsidR="00BD4ABB">
              <w:t>60-day MACE incidence</w:t>
            </w:r>
            <w:r w:rsidR="151B16F1">
              <w:t>)</w:t>
            </w:r>
            <w:r w:rsidR="00BD4ABB">
              <w:t xml:space="preserve"> among low-risk patients (absolute decrease 0.2%, p = 0.28)</w:t>
            </w:r>
            <w:r w:rsidR="1673E04C">
              <w:t xml:space="preserve"> and no net change</w:t>
            </w:r>
            <w:r w:rsidR="00BD4ABB">
              <w:t xml:space="preserve"> in the overall study population (absolute decrease 0.6%, p = 0.37)</w:t>
            </w:r>
            <w:r w:rsidR="79C1F47A">
              <w:t>.</w:t>
            </w:r>
          </w:p>
        </w:tc>
      </w:tr>
      <w:tr w:rsidR="0048655A" w:rsidRPr="008A7C90" w14:paraId="62542513" w14:textId="77777777" w:rsidTr="00AB376F">
        <w:trPr>
          <w:trHeight w:val="816"/>
        </w:trPr>
        <w:tc>
          <w:tcPr>
            <w:tcW w:w="1969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6" w:type="dxa"/>
            <w:gridSpan w:val="2"/>
          </w:tcPr>
          <w:p w14:paraId="092B6F29" w14:textId="5384BA0D" w:rsidR="0048655A" w:rsidRPr="00EF635D" w:rsidRDefault="006A554F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Discussions with stakeholders (cardiology, HBS, EM) surrounding dissemination and implementation of RISTRA-ACS are currently on hold given pandemic response priorities. Manuscript of findings is in final stages of preparation. </w:t>
            </w:r>
          </w:p>
        </w:tc>
      </w:tr>
      <w:tr w:rsidR="00CB0455" w:rsidRPr="008A7C90" w14:paraId="57800790" w14:textId="77777777" w:rsidTr="00AB376F">
        <w:trPr>
          <w:trHeight w:val="555"/>
        </w:trPr>
        <w:tc>
          <w:tcPr>
            <w:tcW w:w="1969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6" w:type="dxa"/>
            <w:gridSpan w:val="2"/>
          </w:tcPr>
          <w:p w14:paraId="08163871" w14:textId="17154299" w:rsidR="00CB0455" w:rsidRPr="00EB0401" w:rsidRDefault="006A554F" w:rsidP="0048655A">
            <w:r>
              <w:t>Operational leaders can consider</w:t>
            </w:r>
            <w:r w:rsidR="00BD4ABB">
              <w:t xml:space="preserve"> dissemination and</w:t>
            </w:r>
            <w:r>
              <w:t xml:space="preserve"> implementation of RISTRA-ACS </w:t>
            </w:r>
            <w:r w:rsidR="00BD4ABB">
              <w:t>at</w:t>
            </w:r>
            <w:r>
              <w:t xml:space="preserve"> all 21 KPNC </w:t>
            </w:r>
            <w:proofErr w:type="spellStart"/>
            <w:r>
              <w:t>EDs</w:t>
            </w:r>
            <w:r w:rsidR="00BD4ABB">
              <w:t>.</w:t>
            </w:r>
            <w:proofErr w:type="spellEnd"/>
          </w:p>
        </w:tc>
      </w:tr>
      <w:tr w:rsidR="0048655A" w:rsidRPr="008A7C90" w14:paraId="21F6FB6D" w14:textId="77777777" w:rsidTr="00AB376F">
        <w:trPr>
          <w:trHeight w:val="552"/>
        </w:trPr>
        <w:tc>
          <w:tcPr>
            <w:tcW w:w="1969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6" w:type="dxa"/>
            <w:gridSpan w:val="2"/>
          </w:tcPr>
          <w:p w14:paraId="35B5FEA6" w14:textId="1B5CFAF9" w:rsidR="0048655A" w:rsidRPr="008A7C90" w:rsidRDefault="006A554F" w:rsidP="0048655A">
            <w:pPr>
              <w:spacing w:line="259" w:lineRule="auto"/>
            </w:pPr>
            <w:r>
              <w:t xml:space="preserve">Existing RISTRA web portal within KPHC </w:t>
            </w:r>
          </w:p>
        </w:tc>
      </w:tr>
      <w:tr w:rsidR="0048655A" w:rsidRPr="008A7C90" w14:paraId="02D4678D" w14:textId="77777777" w:rsidTr="00AB376F">
        <w:trPr>
          <w:trHeight w:val="552"/>
        </w:trPr>
        <w:tc>
          <w:tcPr>
            <w:tcW w:w="1969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6" w:type="dxa"/>
            <w:gridSpan w:val="2"/>
          </w:tcPr>
          <w:p w14:paraId="0D25EBD1" w14:textId="431BB97D" w:rsidR="0048655A" w:rsidRPr="008A7C90" w:rsidRDefault="006A554F" w:rsidP="0048655A">
            <w:pPr>
              <w:spacing w:line="259" w:lineRule="auto"/>
            </w:pPr>
            <w:r>
              <w:t>Tracked use of RISTRA-ACS electronic decision support during potentially eligible ED encounters (chief complaint of chest pain or chest discomfort with troponin measurement)</w:t>
            </w:r>
            <w:r w:rsidR="304FBAA5">
              <w:t xml:space="preserve"> and use of objective cardiac testing in low and high risk patients.</w:t>
            </w:r>
          </w:p>
        </w:tc>
      </w:tr>
      <w:tr w:rsidR="0048655A" w:rsidRPr="008A7C90" w14:paraId="66558595" w14:textId="77777777" w:rsidTr="00AB376F">
        <w:trPr>
          <w:trHeight w:val="538"/>
        </w:trPr>
        <w:tc>
          <w:tcPr>
            <w:tcW w:w="1969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6" w:type="dxa"/>
            <w:gridSpan w:val="2"/>
          </w:tcPr>
          <w:p w14:paraId="722DE921" w14:textId="6FDAADE1" w:rsidR="0048655A" w:rsidRPr="008A7C90" w:rsidRDefault="006A554F" w:rsidP="0048655A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34D8E2B" wp14:editId="522200BD">
                  <wp:extent cx="5394960" cy="2438400"/>
                  <wp:effectExtent l="0" t="0" r="15240" b="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C73DC7-495C-4776-A06F-A6AFCCBBA3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bookmarkEnd w:id="0"/>
      <w:tr w:rsidR="00AB376F" w:rsidRPr="008A7C90" w14:paraId="6EE12A54" w14:textId="77777777" w:rsidTr="00365124">
        <w:trPr>
          <w:trHeight w:val="538"/>
        </w:trPr>
        <w:tc>
          <w:tcPr>
            <w:tcW w:w="1975" w:type="dxa"/>
            <w:gridSpan w:val="2"/>
          </w:tcPr>
          <w:p w14:paraId="06B9E191" w14:textId="77777777" w:rsidR="00AB376F" w:rsidRPr="00871F97" w:rsidRDefault="00AB376F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lastRenderedPageBreak/>
              <w:t>In carrying out this project, what problems or barriers did you encounter? (50 words or less)</w:t>
            </w:r>
          </w:p>
          <w:p w14:paraId="240F36EB" w14:textId="77777777" w:rsidR="00AB376F" w:rsidRPr="008A7C90" w:rsidRDefault="00AB376F" w:rsidP="00365124"/>
        </w:tc>
        <w:tc>
          <w:tcPr>
            <w:tcW w:w="8730" w:type="dxa"/>
          </w:tcPr>
          <w:p w14:paraId="76BA9488" w14:textId="77777777" w:rsidR="00AB376F" w:rsidRDefault="00AB376F" w:rsidP="00365124">
            <w:pPr>
              <w:rPr>
                <w:noProof/>
              </w:rPr>
            </w:pPr>
          </w:p>
        </w:tc>
      </w:tr>
      <w:tr w:rsidR="00AB376F" w:rsidRPr="008A7C90" w14:paraId="7439D199" w14:textId="77777777" w:rsidTr="00365124">
        <w:trPr>
          <w:trHeight w:val="538"/>
        </w:trPr>
        <w:tc>
          <w:tcPr>
            <w:tcW w:w="1975" w:type="dxa"/>
            <w:gridSpan w:val="2"/>
          </w:tcPr>
          <w:p w14:paraId="4F21BB58" w14:textId="77777777" w:rsidR="00AB376F" w:rsidRPr="00871F97" w:rsidRDefault="00AB376F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t>In your experience with this project, what was the most positive or constructive aspect? (50 words or less)</w:t>
            </w:r>
          </w:p>
          <w:p w14:paraId="5C1D0F49" w14:textId="77777777" w:rsidR="00AB376F" w:rsidRPr="00871F97" w:rsidRDefault="00AB376F" w:rsidP="00365124">
            <w:pPr>
              <w:rPr>
                <w:color w:val="4472C4" w:themeColor="accent1"/>
              </w:rPr>
            </w:pPr>
          </w:p>
        </w:tc>
        <w:tc>
          <w:tcPr>
            <w:tcW w:w="8730" w:type="dxa"/>
          </w:tcPr>
          <w:p w14:paraId="61E04812" w14:textId="77777777" w:rsidR="00AB376F" w:rsidRDefault="00AB376F" w:rsidP="00365124">
            <w:pPr>
              <w:rPr>
                <w:noProof/>
              </w:rPr>
            </w:pPr>
          </w:p>
        </w:tc>
      </w:tr>
      <w:tr w:rsidR="00AB376F" w:rsidRPr="008A7C90" w14:paraId="32FDC244" w14:textId="77777777" w:rsidTr="00365124">
        <w:trPr>
          <w:trHeight w:val="538"/>
        </w:trPr>
        <w:tc>
          <w:tcPr>
            <w:tcW w:w="1975" w:type="dxa"/>
            <w:gridSpan w:val="2"/>
          </w:tcPr>
          <w:p w14:paraId="692ACC79" w14:textId="77777777" w:rsidR="00AB376F" w:rsidRPr="00871F97" w:rsidRDefault="00AB376F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t xml:space="preserve">Dissemination -- did your project lead to a presentation, report or publication? </w:t>
            </w:r>
          </w:p>
          <w:p w14:paraId="29F31B65" w14:textId="77777777" w:rsidR="00AB376F" w:rsidRPr="00871F97" w:rsidRDefault="00AB376F" w:rsidP="00365124">
            <w:pPr>
              <w:ind w:firstLine="720"/>
              <w:rPr>
                <w:color w:val="4472C4" w:themeColor="accent1"/>
              </w:rPr>
            </w:pPr>
          </w:p>
        </w:tc>
        <w:tc>
          <w:tcPr>
            <w:tcW w:w="8730" w:type="dxa"/>
          </w:tcPr>
          <w:p w14:paraId="6E6EB892" w14:textId="77777777" w:rsidR="00AB376F" w:rsidRPr="00196AE4" w:rsidRDefault="00AB376F" w:rsidP="00365124">
            <w:pPr>
              <w:ind w:firstLine="76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5876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No, please describe barriers, if any.</w:t>
            </w:r>
          </w:p>
          <w:p w14:paraId="28ABB2CD" w14:textId="77777777" w:rsidR="00AB376F" w:rsidRPr="00196AE4" w:rsidRDefault="00AB376F" w:rsidP="00365124">
            <w:pPr>
              <w:ind w:firstLine="76"/>
              <w:rPr>
                <w:color w:val="4472C4" w:themeColor="accent1"/>
              </w:rPr>
            </w:pPr>
          </w:p>
          <w:p w14:paraId="5DF71C64" w14:textId="77777777" w:rsidR="00AB376F" w:rsidRPr="00196AE4" w:rsidRDefault="00AB376F" w:rsidP="00365124">
            <w:pPr>
              <w:ind w:firstLine="76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171746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Yes, please list.</w:t>
            </w:r>
          </w:p>
          <w:p w14:paraId="6C0911D3" w14:textId="77777777" w:rsidR="00AB376F" w:rsidRDefault="00AB376F" w:rsidP="00365124">
            <w:pPr>
              <w:rPr>
                <w:noProof/>
              </w:rPr>
            </w:pPr>
          </w:p>
        </w:tc>
      </w:tr>
      <w:tr w:rsidR="00AB376F" w:rsidRPr="008A7C90" w14:paraId="2E7BD7B3" w14:textId="77777777" w:rsidTr="00365124">
        <w:trPr>
          <w:trHeight w:val="538"/>
        </w:trPr>
        <w:tc>
          <w:tcPr>
            <w:tcW w:w="1975" w:type="dxa"/>
            <w:gridSpan w:val="2"/>
          </w:tcPr>
          <w:p w14:paraId="4C1272DC" w14:textId="77777777" w:rsidR="00AB376F" w:rsidRPr="00871F97" w:rsidRDefault="00AB376F" w:rsidP="00365124">
            <w:pPr>
              <w:rPr>
                <w:color w:val="4472C4" w:themeColor="accent1"/>
              </w:rPr>
            </w:pPr>
            <w:r w:rsidRPr="00871F97">
              <w:rPr>
                <w:color w:val="4472C4" w:themeColor="accent1"/>
              </w:rPr>
              <w:t xml:space="preserve">Did you or others learn something else from your project?  </w:t>
            </w:r>
          </w:p>
          <w:p w14:paraId="7ACD38B0" w14:textId="77777777" w:rsidR="00AB376F" w:rsidRPr="00871F97" w:rsidRDefault="00AB376F" w:rsidP="00365124">
            <w:pPr>
              <w:ind w:left="720"/>
              <w:rPr>
                <w:color w:val="4472C4" w:themeColor="accent1"/>
              </w:rPr>
            </w:pPr>
          </w:p>
        </w:tc>
        <w:tc>
          <w:tcPr>
            <w:tcW w:w="8730" w:type="dxa"/>
          </w:tcPr>
          <w:p w14:paraId="2E049ED1" w14:textId="77777777" w:rsidR="00AB376F" w:rsidRPr="00196AE4" w:rsidRDefault="00AB376F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9418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Formed a new relationship </w:t>
            </w:r>
          </w:p>
          <w:p w14:paraId="024D7A8B" w14:textId="77777777" w:rsidR="00AB376F" w:rsidRPr="00196AE4" w:rsidRDefault="00AB376F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-189456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Learned that the right data aren’t currently available </w:t>
            </w:r>
          </w:p>
          <w:p w14:paraId="7162C5F7" w14:textId="77777777" w:rsidR="00AB376F" w:rsidRPr="00196AE4" w:rsidRDefault="00AB376F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147935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Identified unanticipated barriers to improving clinical practice </w:t>
            </w:r>
          </w:p>
          <w:p w14:paraId="755179A9" w14:textId="77777777" w:rsidR="00AB376F" w:rsidRPr="00196AE4" w:rsidRDefault="00AB376F" w:rsidP="00365124">
            <w:pPr>
              <w:ind w:left="720" w:hanging="644"/>
              <w:rPr>
                <w:color w:val="4472C4" w:themeColor="accent1"/>
              </w:rPr>
            </w:pPr>
            <w:sdt>
              <w:sdtPr>
                <w:rPr>
                  <w:rFonts w:ascii="MS Gothic" w:eastAsia="MS Gothic" w:hAnsi="MS Gothic"/>
                  <w:color w:val="4472C4" w:themeColor="accent1"/>
                </w:rPr>
                <w:id w:val="589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6AE4">
                  <w:rPr>
                    <w:rFonts w:ascii="MS Gothic" w:eastAsia="MS Gothic" w:hAnsi="MS Gothic" w:hint="eastAsia"/>
                    <w:color w:val="4472C4" w:themeColor="accent1"/>
                  </w:rPr>
                  <w:t>☐</w:t>
                </w:r>
              </w:sdtContent>
            </w:sdt>
            <w:r w:rsidRPr="00196AE4">
              <w:rPr>
                <w:color w:val="4472C4" w:themeColor="accent1"/>
              </w:rPr>
              <w:t xml:space="preserve"> Other learnings</w:t>
            </w:r>
          </w:p>
          <w:p w14:paraId="51B52C93" w14:textId="77777777" w:rsidR="00AB376F" w:rsidRDefault="00AB376F" w:rsidP="00365124">
            <w:pPr>
              <w:ind w:firstLine="76"/>
              <w:rPr>
                <w:rFonts w:ascii="MS Gothic" w:eastAsia="MS Gothic" w:hAnsi="MS Gothic"/>
                <w:color w:val="4472C4" w:themeColor="accent1"/>
              </w:rPr>
            </w:pPr>
          </w:p>
        </w:tc>
      </w:tr>
    </w:tbl>
    <w:p w14:paraId="7F7E6185" w14:textId="1DE3DA47" w:rsidR="001430CC" w:rsidRPr="001430CC" w:rsidRDefault="001430CC" w:rsidP="001430CC">
      <w:pPr>
        <w:tabs>
          <w:tab w:val="left" w:pos="2196"/>
        </w:tabs>
      </w:pPr>
      <w:bookmarkStart w:id="1" w:name="_GoBack"/>
      <w:bookmarkEnd w:id="1"/>
    </w:p>
    <w:sectPr w:rsidR="001430CC" w:rsidRPr="001430CC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AD6CA" w14:textId="77777777" w:rsidR="00D60E50" w:rsidRDefault="00D60E50" w:rsidP="001430CC">
      <w:pPr>
        <w:spacing w:after="0" w:line="240" w:lineRule="auto"/>
      </w:pPr>
      <w:r>
        <w:separator/>
      </w:r>
    </w:p>
  </w:endnote>
  <w:endnote w:type="continuationSeparator" w:id="0">
    <w:p w14:paraId="06F03886" w14:textId="77777777" w:rsidR="00D60E50" w:rsidRDefault="00D60E50" w:rsidP="0014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710C5" w14:textId="77777777" w:rsidR="00D60E50" w:rsidRDefault="00D60E50" w:rsidP="001430CC">
      <w:pPr>
        <w:spacing w:after="0" w:line="240" w:lineRule="auto"/>
      </w:pPr>
      <w:r>
        <w:separator/>
      </w:r>
    </w:p>
  </w:footnote>
  <w:footnote w:type="continuationSeparator" w:id="0">
    <w:p w14:paraId="5C0985D5" w14:textId="77777777" w:rsidR="00D60E50" w:rsidRDefault="00D60E50" w:rsidP="00143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430CC"/>
    <w:rsid w:val="00172D71"/>
    <w:rsid w:val="001D52BB"/>
    <w:rsid w:val="001E348B"/>
    <w:rsid w:val="0023703A"/>
    <w:rsid w:val="002A1A00"/>
    <w:rsid w:val="0031051B"/>
    <w:rsid w:val="003D755D"/>
    <w:rsid w:val="003E27D1"/>
    <w:rsid w:val="003E34C5"/>
    <w:rsid w:val="0048655A"/>
    <w:rsid w:val="00506198"/>
    <w:rsid w:val="00514319"/>
    <w:rsid w:val="006A554F"/>
    <w:rsid w:val="006D32D2"/>
    <w:rsid w:val="0072563B"/>
    <w:rsid w:val="0077377F"/>
    <w:rsid w:val="00777238"/>
    <w:rsid w:val="0078CCAE"/>
    <w:rsid w:val="008131C8"/>
    <w:rsid w:val="008A7C90"/>
    <w:rsid w:val="009001F2"/>
    <w:rsid w:val="00933309"/>
    <w:rsid w:val="0095703B"/>
    <w:rsid w:val="00A16BB1"/>
    <w:rsid w:val="00A53842"/>
    <w:rsid w:val="00AB376F"/>
    <w:rsid w:val="00BD4ABB"/>
    <w:rsid w:val="00C3487D"/>
    <w:rsid w:val="00C4025A"/>
    <w:rsid w:val="00C73A94"/>
    <w:rsid w:val="00CB0455"/>
    <w:rsid w:val="00CF4301"/>
    <w:rsid w:val="00D003F1"/>
    <w:rsid w:val="00D06B21"/>
    <w:rsid w:val="00D24534"/>
    <w:rsid w:val="00D60E50"/>
    <w:rsid w:val="00EB0401"/>
    <w:rsid w:val="00EF635D"/>
    <w:rsid w:val="00F16668"/>
    <w:rsid w:val="00FE6194"/>
    <w:rsid w:val="04488164"/>
    <w:rsid w:val="0883DE93"/>
    <w:rsid w:val="0B07F941"/>
    <w:rsid w:val="0B4BE6C0"/>
    <w:rsid w:val="0D574FB6"/>
    <w:rsid w:val="1075C81B"/>
    <w:rsid w:val="151B16F1"/>
    <w:rsid w:val="1673E04C"/>
    <w:rsid w:val="19AE480B"/>
    <w:rsid w:val="1A1CAA61"/>
    <w:rsid w:val="1A557A28"/>
    <w:rsid w:val="222FA9CC"/>
    <w:rsid w:val="231B7F39"/>
    <w:rsid w:val="248015C3"/>
    <w:rsid w:val="2AD8730D"/>
    <w:rsid w:val="2B0D68C1"/>
    <w:rsid w:val="2B26911E"/>
    <w:rsid w:val="2E12DACC"/>
    <w:rsid w:val="304FBAA5"/>
    <w:rsid w:val="30BD5087"/>
    <w:rsid w:val="33E19DF7"/>
    <w:rsid w:val="34B44B07"/>
    <w:rsid w:val="3C10D729"/>
    <w:rsid w:val="403E39B4"/>
    <w:rsid w:val="436AACB5"/>
    <w:rsid w:val="44D25C57"/>
    <w:rsid w:val="467FABBB"/>
    <w:rsid w:val="48CFCAD7"/>
    <w:rsid w:val="4BB4C7CC"/>
    <w:rsid w:val="4E3C3611"/>
    <w:rsid w:val="4E551E08"/>
    <w:rsid w:val="4E9C47E8"/>
    <w:rsid w:val="523C583E"/>
    <w:rsid w:val="549BC3B9"/>
    <w:rsid w:val="559CF79F"/>
    <w:rsid w:val="585EBF0C"/>
    <w:rsid w:val="5E024D5B"/>
    <w:rsid w:val="61E9E911"/>
    <w:rsid w:val="6361D76B"/>
    <w:rsid w:val="690254DA"/>
    <w:rsid w:val="6EBEEAFC"/>
    <w:rsid w:val="7047E549"/>
    <w:rsid w:val="70BAC193"/>
    <w:rsid w:val="710AB651"/>
    <w:rsid w:val="73101D47"/>
    <w:rsid w:val="788E5106"/>
    <w:rsid w:val="79C1F47A"/>
    <w:rsid w:val="7F5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3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0CC"/>
  </w:style>
  <w:style w:type="paragraph" w:styleId="Footer">
    <w:name w:val="footer"/>
    <w:basedOn w:val="Normal"/>
    <w:link w:val="FooterChar"/>
    <w:uiPriority w:val="99"/>
    <w:unhideWhenUsed/>
    <w:rsid w:val="00143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30-day objective cardiac testing in</a:t>
            </a:r>
            <a:r>
              <a:rPr lang="en-US" baseline="0"/>
              <a:t> low-risk patients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'20201130_6m_uti_order_30d1'!$E$11</c:f>
              <c:strCache>
                <c:ptCount val="1"/>
                <c:pt idx="0">
                  <c:v>RISTRA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'20201130_6m_uti_order_30d1'!$I$12:$I$19</c:f>
                <c:numCache>
                  <c:formatCode>General</c:formatCode>
                  <c:ptCount val="8"/>
                  <c:pt idx="0">
                    <c:v>0.84990000000000521</c:v>
                  </c:pt>
                  <c:pt idx="1">
                    <c:v>0.87099999999999511</c:v>
                  </c:pt>
                  <c:pt idx="2">
                    <c:v>0.85439999999999827</c:v>
                  </c:pt>
                  <c:pt idx="3">
                    <c:v>0.85760000000000502</c:v>
                  </c:pt>
                  <c:pt idx="4">
                    <c:v>0.8013999999999939</c:v>
                  </c:pt>
                  <c:pt idx="5">
                    <c:v>0.79850000000000421</c:v>
                  </c:pt>
                  <c:pt idx="6">
                    <c:v>0.7418000000000049</c:v>
                  </c:pt>
                  <c:pt idx="7">
                    <c:v>0.72830000000000084</c:v>
                  </c:pt>
                </c:numCache>
              </c:numRef>
            </c:plus>
            <c:minus>
              <c:numRef>
                <c:f>'20201130_6m_uti_order_30d1'!$H$12:$H$19</c:f>
                <c:numCache>
                  <c:formatCode>General</c:formatCode>
                  <c:ptCount val="8"/>
                  <c:pt idx="0">
                    <c:v>0.8463999999999956</c:v>
                  </c:pt>
                  <c:pt idx="1">
                    <c:v>0.8668000000000049</c:v>
                  </c:pt>
                  <c:pt idx="2">
                    <c:v>0.84980000000000189</c:v>
                  </c:pt>
                  <c:pt idx="3">
                    <c:v>0.85269999999999868</c:v>
                  </c:pt>
                  <c:pt idx="4">
                    <c:v>0.79620000000000601</c:v>
                  </c:pt>
                  <c:pt idx="5">
                    <c:v>0.79240000000000066</c:v>
                  </c:pt>
                  <c:pt idx="6">
                    <c:v>0.7353999999999985</c:v>
                  </c:pt>
                  <c:pt idx="7">
                    <c:v>0.72060000000000102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'20201130_6m_uti_order_30d1'!$C$2:$D$9</c:f>
              <c:multiLvlStrCache>
                <c:ptCount val="8"/>
                <c:lvl>
                  <c:pt idx="0">
                    <c:v>Jan-Jun</c:v>
                  </c:pt>
                  <c:pt idx="1">
                    <c:v>Jul-Dec</c:v>
                  </c:pt>
                  <c:pt idx="2">
                    <c:v>Jan-Jun</c:v>
                  </c:pt>
                  <c:pt idx="3">
                    <c:v>Jul-Dec</c:v>
                  </c:pt>
                  <c:pt idx="4">
                    <c:v>Jan-Jun</c:v>
                  </c:pt>
                  <c:pt idx="5">
                    <c:v>Jul-Dec</c:v>
                  </c:pt>
                  <c:pt idx="6">
                    <c:v>Jan-Jun</c:v>
                  </c:pt>
                  <c:pt idx="7">
                    <c:v>Jul-Dec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'20201130_6m_uti_order_30d1'!$E$12:$E$19</c:f>
              <c:numCache>
                <c:formatCode>General</c:formatCode>
                <c:ptCount val="8"/>
                <c:pt idx="0">
                  <c:v>42.211399999999998</c:v>
                </c:pt>
                <c:pt idx="1">
                  <c:v>40.817500000000003</c:v>
                </c:pt>
                <c:pt idx="2">
                  <c:v>40.003100000000003</c:v>
                </c:pt>
                <c:pt idx="3">
                  <c:v>39.230899999999998</c:v>
                </c:pt>
                <c:pt idx="4">
                  <c:v>37.329300000000003</c:v>
                </c:pt>
                <c:pt idx="5">
                  <c:v>35.259599999999999</c:v>
                </c:pt>
                <c:pt idx="6">
                  <c:v>32.869599999999998</c:v>
                </c:pt>
                <c:pt idx="7">
                  <c:v>29.6873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27-462A-B61B-8EEAAB694541}"/>
            </c:ext>
          </c:extLst>
        </c:ser>
        <c:ser>
          <c:idx val="1"/>
          <c:order val="1"/>
          <c:tx>
            <c:strRef>
              <c:f>'20201130_6m_uti_order_30d1'!$J$11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'20201130_6m_uti_order_30d1'!$N$12:$N$19</c:f>
                <c:numCache>
                  <c:formatCode>General</c:formatCode>
                  <c:ptCount val="8"/>
                  <c:pt idx="0">
                    <c:v>1.3275999999999968</c:v>
                  </c:pt>
                  <c:pt idx="1">
                    <c:v>1.3297999999999988</c:v>
                  </c:pt>
                  <c:pt idx="2">
                    <c:v>1.3330999999999946</c:v>
                  </c:pt>
                  <c:pt idx="3">
                    <c:v>1.3012000000000015</c:v>
                  </c:pt>
                  <c:pt idx="4">
                    <c:v>1.1871000000000009</c:v>
                  </c:pt>
                  <c:pt idx="5">
                    <c:v>1.1493000000000002</c:v>
                  </c:pt>
                  <c:pt idx="6">
                    <c:v>1.0634999999999977</c:v>
                  </c:pt>
                  <c:pt idx="7">
                    <c:v>1.0462999999999987</c:v>
                  </c:pt>
                </c:numCache>
              </c:numRef>
            </c:plus>
            <c:minus>
              <c:numRef>
                <c:f>'20201130_6m_uti_order_30d1'!$M$12:$M$19</c:f>
                <c:numCache>
                  <c:formatCode>General</c:formatCode>
                  <c:ptCount val="8"/>
                  <c:pt idx="0">
                    <c:v>1.3102000000000018</c:v>
                  </c:pt>
                  <c:pt idx="1">
                    <c:v>1.3112000000000066</c:v>
                  </c:pt>
                  <c:pt idx="2">
                    <c:v>1.3145999999999987</c:v>
                  </c:pt>
                  <c:pt idx="3">
                    <c:v>1.2800000000000011</c:v>
                  </c:pt>
                  <c:pt idx="4">
                    <c:v>1.1674999999999969</c:v>
                  </c:pt>
                  <c:pt idx="5">
                    <c:v>1.1295999999999999</c:v>
                  </c:pt>
                  <c:pt idx="6">
                    <c:v>1.0460000000000029</c:v>
                  </c:pt>
                  <c:pt idx="7">
                    <c:v>1.0282000000000018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'20201130_6m_uti_order_30d1'!$C$2:$D$9</c:f>
              <c:multiLvlStrCache>
                <c:ptCount val="8"/>
                <c:lvl>
                  <c:pt idx="0">
                    <c:v>Jan-Jun</c:v>
                  </c:pt>
                  <c:pt idx="1">
                    <c:v>Jul-Dec</c:v>
                  </c:pt>
                  <c:pt idx="2">
                    <c:v>Jan-Jun</c:v>
                  </c:pt>
                  <c:pt idx="3">
                    <c:v>Jul-Dec</c:v>
                  </c:pt>
                  <c:pt idx="4">
                    <c:v>Jan-Jun</c:v>
                  </c:pt>
                  <c:pt idx="5">
                    <c:v>Jul-Dec</c:v>
                  </c:pt>
                  <c:pt idx="6">
                    <c:v>Jan-Jun</c:v>
                  </c:pt>
                  <c:pt idx="7">
                    <c:v>Jul-Dec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'20201130_6m_uti_order_30d1'!$J$12:$J$19</c:f>
              <c:numCache>
                <c:formatCode>General</c:formatCode>
                <c:ptCount val="8"/>
                <c:pt idx="0">
                  <c:v>34.8919</c:v>
                </c:pt>
                <c:pt idx="1">
                  <c:v>34.030700000000003</c:v>
                </c:pt>
                <c:pt idx="2">
                  <c:v>34.133200000000002</c:v>
                </c:pt>
                <c:pt idx="3">
                  <c:v>31.6143</c:v>
                </c:pt>
                <c:pt idx="4">
                  <c:v>30.229399999999998</c:v>
                </c:pt>
                <c:pt idx="5">
                  <c:v>29.0886</c:v>
                </c:pt>
                <c:pt idx="6">
                  <c:v>28.679200000000002</c:v>
                </c:pt>
                <c:pt idx="7">
                  <c:v>27.633400000000002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27-462A-B61B-8EEAAB6945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0831887"/>
        <c:axId val="771631439"/>
      </c:lineChart>
      <c:catAx>
        <c:axId val="920831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1631439"/>
        <c:crosses val="autoZero"/>
        <c:auto val="1"/>
        <c:lblAlgn val="ctr"/>
        <c:lblOffset val="100"/>
        <c:noMultiLvlLbl val="0"/>
      </c:catAx>
      <c:valAx>
        <c:axId val="771631439"/>
        <c:scaling>
          <c:orientation val="minMax"/>
          <c:max val="5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Incidence</a:t>
                </a:r>
                <a:r>
                  <a:rPr lang="en-US" baseline="0"/>
                  <a:t> (%)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0831887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0.64866</cdr:x>
      <cdr:y>0.17303</cdr:y>
    </cdr:from>
    <cdr:to>
      <cdr:x>0.97742</cdr:x>
      <cdr:y>0.71181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830637" y="474663"/>
          <a:ext cx="1941513" cy="147796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alpha val="22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solidFill>
                <a:schemeClr val="tx1"/>
              </a:solidFill>
            </a:rPr>
            <a:t>Post-intervention</a:t>
          </a:r>
        </a:p>
      </cdr:txBody>
    </cdr:sp>
  </cdr:relSizeAnchor>
  <cdr:relSizeAnchor xmlns:cdr="http://schemas.openxmlformats.org/drawingml/2006/chartDrawing">
    <cdr:from>
      <cdr:x>0.21156</cdr:x>
      <cdr:y>0.1713</cdr:y>
    </cdr:from>
    <cdr:to>
      <cdr:x>0.5379</cdr:x>
      <cdr:y>0.7066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1249363" y="469901"/>
          <a:ext cx="1927225" cy="146843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22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Pre-intervention</a:t>
          </a:r>
        </a:p>
      </cdr:txBody>
    </cdr:sp>
  </cdr:relSizeAnchor>
  <cdr:relSizeAnchor xmlns:cdr="http://schemas.openxmlformats.org/drawingml/2006/chartDrawing">
    <cdr:from>
      <cdr:x>0.09624</cdr:x>
      <cdr:y>0.17419</cdr:y>
    </cdr:from>
    <cdr:to>
      <cdr:x>0.21237</cdr:x>
      <cdr:y>0.70891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568325" y="477837"/>
          <a:ext cx="685800" cy="1466850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50000"/>
            <a:alpha val="24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Baseline</a:t>
          </a:r>
        </a:p>
      </cdr:txBody>
    </cdr:sp>
  </cdr:relSizeAnchor>
  <cdr:relSizeAnchor xmlns:cdr="http://schemas.openxmlformats.org/drawingml/2006/chartDrawing">
    <cdr:from>
      <cdr:x>0.53629</cdr:x>
      <cdr:y>0.17361</cdr:y>
    </cdr:from>
    <cdr:to>
      <cdr:x>0.64839</cdr:x>
      <cdr:y>0.7118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3167063" y="476249"/>
          <a:ext cx="661988" cy="14763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50000"/>
            <a:alpha val="24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Uptake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858435-F0F2-418D-A32D-7C52822673D7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Suzanne K Furuya</cp:lastModifiedBy>
  <cp:revision>10</cp:revision>
  <dcterms:created xsi:type="dcterms:W3CDTF">2021-01-25T20:16:00Z</dcterms:created>
  <dcterms:modified xsi:type="dcterms:W3CDTF">2021-04-30T21:13:00Z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