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B173" w14:textId="77777777" w:rsidR="0099189B" w:rsidRDefault="0099189B" w:rsidP="000D2A5B">
      <w:pPr>
        <w:spacing w:after="0"/>
        <w:rPr>
          <w:rFonts w:asciiTheme="majorHAnsi" w:eastAsia="Calibri" w:hAnsiTheme="majorHAnsi" w:cstheme="majorHAnsi"/>
        </w:rPr>
      </w:pPr>
      <w:r w:rsidRPr="0099189B">
        <w:rPr>
          <w:rFonts w:asciiTheme="majorHAnsi" w:eastAsia="Calibri" w:hAnsiTheme="majorHAnsi" w:cstheme="majorHAnsi"/>
        </w:rPr>
        <w:t>Delivery Science Grants Program</w:t>
      </w:r>
    </w:p>
    <w:p w14:paraId="64FB76BE" w14:textId="77777777" w:rsidR="00252E6B" w:rsidRDefault="00252E6B" w:rsidP="000D2A5B">
      <w:pPr>
        <w:spacing w:after="0"/>
        <w:rPr>
          <w:rFonts w:asciiTheme="majorHAnsi" w:eastAsia="Calibri" w:hAnsiTheme="majorHAnsi" w:cstheme="majorHAnsi"/>
        </w:rPr>
      </w:pPr>
    </w:p>
    <w:p w14:paraId="0D016C04" w14:textId="21F85D26" w:rsidR="00986B2E" w:rsidRDefault="00986B2E" w:rsidP="000D2A5B">
      <w:pPr>
        <w:spacing w:after="0"/>
        <w:rPr>
          <w:rFonts w:ascii="Calibri" w:eastAsia="Calibri" w:hAnsi="Calibri" w:cs="Calibri"/>
          <w:color w:val="4472C4" w:themeColor="accent1"/>
          <w:sz w:val="28"/>
          <w:szCs w:val="28"/>
        </w:rPr>
      </w:pPr>
      <w:r w:rsidRPr="00986B2E">
        <w:rPr>
          <w:rFonts w:ascii="Calibri" w:eastAsia="Calibri" w:hAnsi="Calibri" w:cs="Calibri"/>
          <w:color w:val="4472C4" w:themeColor="accent1"/>
          <w:sz w:val="28"/>
          <w:szCs w:val="28"/>
        </w:rPr>
        <w:t>No Differences in ED Visits, Hospitalizations, or Mortality Among Heart Failure Patients with Remote Telemonitoring</w:t>
      </w:r>
    </w:p>
    <w:p w14:paraId="7D76C285" w14:textId="7F46B6FA" w:rsidR="00BA2786" w:rsidRDefault="0099189B" w:rsidP="000D2A5B">
      <w:pPr>
        <w:spacing w:after="0"/>
      </w:pPr>
      <w:r w:rsidRPr="0099189B">
        <w:t xml:space="preserve">Alan Go, MD, Amir Axelrod, MD, Andrew Ambrosy, MD; Jitesh </w:t>
      </w:r>
      <w:proofErr w:type="spellStart"/>
      <w:r w:rsidRPr="0099189B">
        <w:t>Vasadia</w:t>
      </w:r>
      <w:proofErr w:type="spellEnd"/>
      <w:r w:rsidRPr="0099189B">
        <w:t>, MD</w:t>
      </w:r>
    </w:p>
    <w:tbl>
      <w:tblPr>
        <w:tblStyle w:val="TableGrid"/>
        <w:tblpPr w:leftFromText="180" w:rightFromText="180" w:vertAnchor="page" w:horzAnchor="margin" w:tblpY="2581"/>
        <w:tblW w:w="10705" w:type="dxa"/>
        <w:tblLook w:val="04A0" w:firstRow="1" w:lastRow="0" w:firstColumn="1" w:lastColumn="0" w:noHBand="0" w:noVBand="1"/>
      </w:tblPr>
      <w:tblGrid>
        <w:gridCol w:w="1975"/>
        <w:gridCol w:w="8730"/>
      </w:tblGrid>
      <w:tr w:rsidR="008E6D2C" w:rsidRPr="008E6D2C" w14:paraId="307289BF" w14:textId="77777777" w:rsidTr="00C73A94">
        <w:trPr>
          <w:trHeight w:val="816"/>
        </w:trPr>
        <w:tc>
          <w:tcPr>
            <w:tcW w:w="1975" w:type="dxa"/>
          </w:tcPr>
          <w:p w14:paraId="2C7E2D09" w14:textId="77777777" w:rsidR="0048655A" w:rsidRPr="008E6D2C" w:rsidRDefault="0048655A" w:rsidP="0048655A">
            <w:pPr>
              <w:spacing w:line="259" w:lineRule="auto"/>
            </w:pPr>
            <w:bookmarkStart w:id="0" w:name="_Hlk54105970"/>
            <w:r w:rsidRPr="008E6D2C">
              <w:t>Challenge</w:t>
            </w:r>
          </w:p>
        </w:tc>
        <w:tc>
          <w:tcPr>
            <w:tcW w:w="8730" w:type="dxa"/>
          </w:tcPr>
          <w:p w14:paraId="1A9065C3" w14:textId="77777777" w:rsidR="00252E6B" w:rsidRPr="00252E6B" w:rsidRDefault="00252E6B" w:rsidP="00252E6B">
            <w:pPr>
              <w:rPr>
                <w:b/>
                <w:bCs/>
              </w:rPr>
            </w:pPr>
            <w:r w:rsidRPr="00252E6B">
              <w:rPr>
                <w:b/>
                <w:bCs/>
              </w:rPr>
              <w:t>It is unknown whether novel, new, remote monitoring methods utilizing a comprehensive heart failure disease management program that includes telemonitoring and patient education might influence both health care</w:t>
            </w:r>
          </w:p>
          <w:p w14:paraId="7F9273D4" w14:textId="309CB5AB" w:rsidR="0048655A" w:rsidRPr="008E6D2C" w:rsidRDefault="00252E6B" w:rsidP="00252E6B">
            <w:pPr>
              <w:spacing w:line="259" w:lineRule="auto"/>
              <w:rPr>
                <w:b/>
                <w:bCs/>
              </w:rPr>
            </w:pPr>
            <w:r w:rsidRPr="00252E6B">
              <w:rPr>
                <w:b/>
                <w:bCs/>
              </w:rPr>
              <w:t>utilization (such as emergency department care and hospitalization) and mortality</w:t>
            </w:r>
          </w:p>
        </w:tc>
      </w:tr>
      <w:tr w:rsidR="008E6D2C" w:rsidRPr="008E6D2C" w14:paraId="67D435C8" w14:textId="77777777" w:rsidTr="00C73A94">
        <w:trPr>
          <w:trHeight w:val="1091"/>
        </w:trPr>
        <w:tc>
          <w:tcPr>
            <w:tcW w:w="1975" w:type="dxa"/>
          </w:tcPr>
          <w:p w14:paraId="351B366F" w14:textId="77777777" w:rsidR="0048655A" w:rsidRPr="008E6D2C" w:rsidRDefault="0048655A" w:rsidP="0048655A">
            <w:pPr>
              <w:spacing w:line="259" w:lineRule="auto"/>
            </w:pPr>
            <w:r w:rsidRPr="008E6D2C">
              <w:t>Existing Evidence</w:t>
            </w:r>
          </w:p>
        </w:tc>
        <w:tc>
          <w:tcPr>
            <w:tcW w:w="8730" w:type="dxa"/>
          </w:tcPr>
          <w:p w14:paraId="17BB9C10" w14:textId="77777777" w:rsidR="00252E6B" w:rsidRDefault="00252E6B" w:rsidP="00252E6B">
            <w:r>
              <w:t xml:space="preserve">Four KPNC facilities (North Valley, South Sacramento, Santa </w:t>
            </w:r>
            <w:proofErr w:type="gramStart"/>
            <w:r>
              <w:t>Rosa</w:t>
            </w:r>
            <w:proofErr w:type="gramEnd"/>
            <w:r>
              <w:t xml:space="preserve"> and Napa-Solano) have used telemonitoring to follow and treat selected high-risk patients after a clinical encounter for worsening heart failure (HF). The</w:t>
            </w:r>
          </w:p>
          <w:p w14:paraId="135EC8AA" w14:textId="77777777" w:rsidR="00252E6B" w:rsidRDefault="00252E6B" w:rsidP="00252E6B">
            <w:r>
              <w:t>benefit of telemonitoring from randomized trials is unclear, some reported potential clinical and resource utilization benefits, but most had small sample sizes (&lt;900 patients) and were heterogenous in the type of</w:t>
            </w:r>
          </w:p>
          <w:p w14:paraId="70041630" w14:textId="3644D3BC" w:rsidR="0048655A" w:rsidRPr="008E6D2C" w:rsidRDefault="00252E6B" w:rsidP="00252E6B">
            <w:pPr>
              <w:spacing w:line="259" w:lineRule="auto"/>
            </w:pPr>
            <w:r>
              <w:t>telemonitoring.</w:t>
            </w:r>
          </w:p>
        </w:tc>
      </w:tr>
      <w:tr w:rsidR="008E6D2C" w:rsidRPr="008E6D2C" w14:paraId="136E6453" w14:textId="77777777" w:rsidTr="00C73A94">
        <w:trPr>
          <w:trHeight w:val="262"/>
        </w:trPr>
        <w:tc>
          <w:tcPr>
            <w:tcW w:w="1975" w:type="dxa"/>
          </w:tcPr>
          <w:p w14:paraId="53202DB8" w14:textId="77777777" w:rsidR="0048655A" w:rsidRPr="008E6D2C" w:rsidRDefault="0048655A" w:rsidP="0048655A">
            <w:pPr>
              <w:spacing w:line="259" w:lineRule="auto"/>
            </w:pPr>
            <w:r w:rsidRPr="008E6D2C">
              <w:t>Target Population</w:t>
            </w:r>
          </w:p>
        </w:tc>
        <w:tc>
          <w:tcPr>
            <w:tcW w:w="8730" w:type="dxa"/>
          </w:tcPr>
          <w:p w14:paraId="1486D38C" w14:textId="46820A13" w:rsidR="0048655A" w:rsidRPr="008E6D2C" w:rsidRDefault="006F26DE" w:rsidP="00900EFE">
            <w:pPr>
              <w:spacing w:line="259" w:lineRule="auto"/>
            </w:pPr>
            <w:r w:rsidRPr="006F26DE">
              <w:t>Eligible adults with heart failure at Roseville, Sacramento, South Sacramento, Santa Rosa, and Napa-Solano facilities between 2015-2019.</w:t>
            </w:r>
          </w:p>
        </w:tc>
      </w:tr>
      <w:tr w:rsidR="008E6D2C" w:rsidRPr="008E6D2C" w14:paraId="5B80BED5" w14:textId="77777777" w:rsidTr="00C73A94">
        <w:trPr>
          <w:trHeight w:val="276"/>
        </w:trPr>
        <w:tc>
          <w:tcPr>
            <w:tcW w:w="1975" w:type="dxa"/>
          </w:tcPr>
          <w:p w14:paraId="0D0B7C0D" w14:textId="77777777" w:rsidR="0048655A" w:rsidRPr="008E6D2C" w:rsidRDefault="0048655A" w:rsidP="0048655A">
            <w:pPr>
              <w:spacing w:line="259" w:lineRule="auto"/>
            </w:pPr>
            <w:r w:rsidRPr="008E6D2C">
              <w:t>Intervention or Exposure</w:t>
            </w:r>
          </w:p>
        </w:tc>
        <w:tc>
          <w:tcPr>
            <w:tcW w:w="8730" w:type="dxa"/>
          </w:tcPr>
          <w:p w14:paraId="0CA2C589" w14:textId="770CFB1A" w:rsidR="0048655A" w:rsidRPr="008E6D2C" w:rsidRDefault="006F26DE" w:rsidP="006F26DE">
            <w:r>
              <w:t xml:space="preserve">Use of a natural experiment within KPNC, with some patients receiving remote home-based telemonitoring using the </w:t>
            </w:r>
            <w:proofErr w:type="spellStart"/>
            <w:r>
              <w:t>Residio</w:t>
            </w:r>
            <w:proofErr w:type="spellEnd"/>
            <w:r>
              <w:t xml:space="preserve"> </w:t>
            </w:r>
            <w:proofErr w:type="spellStart"/>
            <w:r>
              <w:t>LifeStream</w:t>
            </w:r>
            <w:proofErr w:type="spellEnd"/>
            <w:r>
              <w:t xml:space="preserve"> system. Patients with &amp; without telemonitoring were matched on age, sex, race/ethnicity, service area, left-ventricular ejection </w:t>
            </w:r>
            <w:proofErr w:type="spellStart"/>
            <w:proofErr w:type="gramStart"/>
            <w:r>
              <w:t>fraction,HF</w:t>
            </w:r>
            <w:proofErr w:type="spellEnd"/>
            <w:proofErr w:type="gramEnd"/>
            <w:r>
              <w:t xml:space="preserve"> duration, and a high-dimensional propensity score.</w:t>
            </w:r>
          </w:p>
        </w:tc>
      </w:tr>
      <w:tr w:rsidR="008E6D2C" w:rsidRPr="008E6D2C" w14:paraId="13978FD3" w14:textId="77777777" w:rsidTr="006F26DE">
        <w:trPr>
          <w:trHeight w:val="875"/>
        </w:trPr>
        <w:tc>
          <w:tcPr>
            <w:tcW w:w="1975" w:type="dxa"/>
          </w:tcPr>
          <w:p w14:paraId="7525D5B4" w14:textId="77777777" w:rsidR="0048655A" w:rsidRPr="008E6D2C" w:rsidRDefault="0048655A" w:rsidP="0048655A">
            <w:pPr>
              <w:spacing w:line="259" w:lineRule="auto"/>
              <w:rPr>
                <w:b/>
                <w:bCs/>
              </w:rPr>
            </w:pPr>
            <w:r w:rsidRPr="008E6D2C">
              <w:rPr>
                <w:b/>
                <w:bCs/>
              </w:rPr>
              <w:t>Outcomes/Key Findings</w:t>
            </w:r>
          </w:p>
        </w:tc>
        <w:tc>
          <w:tcPr>
            <w:tcW w:w="8730" w:type="dxa"/>
          </w:tcPr>
          <w:p w14:paraId="3CD35CB0" w14:textId="32261084" w:rsidR="0048655A" w:rsidRPr="008E6D2C" w:rsidRDefault="006F26DE" w:rsidP="002F2000">
            <w:pPr>
              <w:spacing w:line="259" w:lineRule="auto"/>
            </w:pPr>
            <w:r w:rsidRPr="006F26DE">
              <w:t>Adults with HF who received telemonitoring had more frequent medication adjustments but comparable rates of hospitalizations and emergency department visits for worsening HF and all-cause mortality than controls who did not receive telemonitoring</w:t>
            </w:r>
          </w:p>
        </w:tc>
      </w:tr>
      <w:tr w:rsidR="008E6D2C" w:rsidRPr="008E6D2C" w14:paraId="62542513" w14:textId="77777777" w:rsidTr="006F26DE">
        <w:trPr>
          <w:trHeight w:val="623"/>
        </w:trPr>
        <w:tc>
          <w:tcPr>
            <w:tcW w:w="1975" w:type="dxa"/>
          </w:tcPr>
          <w:p w14:paraId="38755ADC" w14:textId="77777777" w:rsidR="0048655A" w:rsidRPr="008E6D2C" w:rsidRDefault="0048655A" w:rsidP="0048655A">
            <w:pPr>
              <w:spacing w:line="259" w:lineRule="auto"/>
              <w:rPr>
                <w:b/>
                <w:bCs/>
              </w:rPr>
            </w:pPr>
            <w:r w:rsidRPr="008E6D2C">
              <w:rPr>
                <w:b/>
                <w:bCs/>
              </w:rPr>
              <w:t>Resulting Action/Change</w:t>
            </w:r>
          </w:p>
        </w:tc>
        <w:tc>
          <w:tcPr>
            <w:tcW w:w="8730" w:type="dxa"/>
          </w:tcPr>
          <w:p w14:paraId="092B6F29" w14:textId="5FE8ADAF" w:rsidR="0048655A" w:rsidRPr="008E6D2C" w:rsidRDefault="006F26DE" w:rsidP="001C386F">
            <w:pPr>
              <w:rPr>
                <w:b/>
                <w:bCs/>
              </w:rPr>
            </w:pPr>
            <w:r w:rsidRPr="006F26DE">
              <w:rPr>
                <w:b/>
                <w:bCs/>
              </w:rPr>
              <w:t>These results do not definitively recommend widespread adoption of telemonitoring for patients with heart failure, given these findings and uncertain benefit in randomized trials.</w:t>
            </w:r>
          </w:p>
        </w:tc>
      </w:tr>
      <w:tr w:rsidR="008E6D2C" w:rsidRPr="008E6D2C" w14:paraId="57800790" w14:textId="77777777" w:rsidTr="002C51D1">
        <w:trPr>
          <w:trHeight w:val="632"/>
        </w:trPr>
        <w:tc>
          <w:tcPr>
            <w:tcW w:w="1975" w:type="dxa"/>
          </w:tcPr>
          <w:p w14:paraId="6C4E04AC" w14:textId="161310DB" w:rsidR="00CB0455" w:rsidRPr="008E6D2C" w:rsidRDefault="00CB0455" w:rsidP="0048655A">
            <w:r w:rsidRPr="008E6D2C">
              <w:t>Additional Recommendations</w:t>
            </w:r>
          </w:p>
        </w:tc>
        <w:tc>
          <w:tcPr>
            <w:tcW w:w="8730" w:type="dxa"/>
          </w:tcPr>
          <w:p w14:paraId="08163871" w14:textId="75366CF3" w:rsidR="00CB0455" w:rsidRPr="008E6D2C" w:rsidRDefault="00167F85" w:rsidP="006F2BC7">
            <w:r w:rsidRPr="00167F85">
              <w:t>An adequately powered randomized controlled trial may be necessary to establish confidence in benefits of telemonitoring for heart failure, overall or in targeted subgroups. These results reinforce the need for evaluating new devices and methods prior to widespread implementation.</w:t>
            </w:r>
          </w:p>
        </w:tc>
      </w:tr>
      <w:tr w:rsidR="008E6D2C" w:rsidRPr="008E6D2C" w14:paraId="21F6FB6D" w14:textId="77777777" w:rsidTr="00C73A94">
        <w:trPr>
          <w:trHeight w:val="552"/>
        </w:trPr>
        <w:tc>
          <w:tcPr>
            <w:tcW w:w="1975" w:type="dxa"/>
          </w:tcPr>
          <w:p w14:paraId="511F380C" w14:textId="77777777" w:rsidR="0048655A" w:rsidRPr="008E6D2C" w:rsidRDefault="0048655A" w:rsidP="0048655A">
            <w:pPr>
              <w:spacing w:line="259" w:lineRule="auto"/>
            </w:pPr>
            <w:r w:rsidRPr="008E6D2C">
              <w:t>Implementation Tools</w:t>
            </w:r>
            <w:r w:rsidRPr="008E6D2C">
              <w:tab/>
            </w:r>
          </w:p>
        </w:tc>
        <w:tc>
          <w:tcPr>
            <w:tcW w:w="8730" w:type="dxa"/>
          </w:tcPr>
          <w:p w14:paraId="35B5FEA6" w14:textId="13455AA5" w:rsidR="0048655A" w:rsidRPr="008E6D2C" w:rsidRDefault="009B48B0" w:rsidP="0048655A">
            <w:pPr>
              <w:spacing w:line="259" w:lineRule="auto"/>
            </w:pPr>
            <w:r w:rsidRPr="009B48B0">
              <w:t>None</w:t>
            </w:r>
          </w:p>
        </w:tc>
      </w:tr>
      <w:tr w:rsidR="008E6D2C" w:rsidRPr="008E6D2C" w14:paraId="02D4678D" w14:textId="77777777" w:rsidTr="00C73A94">
        <w:trPr>
          <w:trHeight w:val="552"/>
        </w:trPr>
        <w:tc>
          <w:tcPr>
            <w:tcW w:w="1975" w:type="dxa"/>
          </w:tcPr>
          <w:p w14:paraId="1B184543" w14:textId="77777777" w:rsidR="0048655A" w:rsidRPr="008E6D2C" w:rsidRDefault="0048655A" w:rsidP="0048655A">
            <w:pPr>
              <w:spacing w:line="259" w:lineRule="auto"/>
            </w:pPr>
            <w:r w:rsidRPr="008E6D2C">
              <w:t>Implementation Measurement</w:t>
            </w:r>
          </w:p>
        </w:tc>
        <w:tc>
          <w:tcPr>
            <w:tcW w:w="8730" w:type="dxa"/>
          </w:tcPr>
          <w:p w14:paraId="0D25EBD1" w14:textId="76423CCE" w:rsidR="0048655A" w:rsidRPr="008E6D2C" w:rsidRDefault="00AE7C0C" w:rsidP="006F2BC7">
            <w:r w:rsidRPr="00AE7C0C">
              <w:t>Proportions of patient using telemonitoring, emergency department utilization, hospitalization rates, and mortality.</w:t>
            </w:r>
          </w:p>
        </w:tc>
      </w:tr>
      <w:tr w:rsidR="008E6D2C" w:rsidRPr="008E6D2C" w14:paraId="66558595" w14:textId="77777777" w:rsidTr="00C73A94">
        <w:trPr>
          <w:trHeight w:val="538"/>
        </w:trPr>
        <w:tc>
          <w:tcPr>
            <w:tcW w:w="1975" w:type="dxa"/>
          </w:tcPr>
          <w:p w14:paraId="29954FA9" w14:textId="77777777" w:rsidR="0048655A" w:rsidRPr="008E6D2C" w:rsidRDefault="0048655A" w:rsidP="0048655A">
            <w:pPr>
              <w:spacing w:line="259" w:lineRule="auto"/>
            </w:pPr>
            <w:r w:rsidRPr="008E6D2C">
              <w:t>Reference</w:t>
            </w:r>
          </w:p>
        </w:tc>
        <w:tc>
          <w:tcPr>
            <w:tcW w:w="8730" w:type="dxa"/>
          </w:tcPr>
          <w:p w14:paraId="6D5C3F9D" w14:textId="77777777" w:rsidR="00AE7C0C" w:rsidRDefault="00AE7C0C" w:rsidP="00AE7C0C">
            <w:pPr>
              <w:rPr>
                <w:rFonts w:ascii="Calibri" w:hAnsi="Calibri" w:cs="Calibri"/>
                <w:color w:val="0563C1"/>
                <w:u w:val="single"/>
              </w:rPr>
            </w:pPr>
            <w:hyperlink r:id="rId8" w:history="1">
              <w:r>
                <w:rPr>
                  <w:rStyle w:val="Hyperlink"/>
                  <w:rFonts w:ascii="Calibri" w:hAnsi="Calibri" w:cs="Calibri"/>
                </w:rPr>
                <w:t xml:space="preserve">https://pubmed.ncbi.nlm.nih.gov/37220825/ </w:t>
              </w:r>
            </w:hyperlink>
          </w:p>
          <w:p w14:paraId="517DDDB7" w14:textId="0AA29DEC" w:rsidR="00F769B9" w:rsidRDefault="000E0EF2" w:rsidP="00F769B9">
            <w:pPr>
              <w:rPr>
                <w:rFonts w:ascii="Calibri" w:hAnsi="Calibri" w:cs="Calibri"/>
                <w:color w:val="0563C1"/>
                <w:u w:val="single"/>
              </w:rPr>
            </w:pPr>
            <w:r>
              <w:rPr>
                <w:rFonts w:ascii="Calibri" w:hAnsi="Calibri" w:cs="Calibri"/>
                <w:noProof/>
                <w:color w:val="0563C1"/>
                <w:u w:val="single"/>
              </w:rPr>
              <w:drawing>
                <wp:inline distT="0" distB="0" distL="0" distR="0" wp14:anchorId="1B9113C5" wp14:editId="6F9FB4C7">
                  <wp:extent cx="4123459" cy="2298065"/>
                  <wp:effectExtent l="0" t="0" r="0" b="6985"/>
                  <wp:docPr id="4" name="Picture 4" descr="A close-up of a medical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medical inform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130031" cy="2301727"/>
                          </a:xfrm>
                          <a:prstGeom prst="rect">
                            <a:avLst/>
                          </a:prstGeom>
                        </pic:spPr>
                      </pic:pic>
                    </a:graphicData>
                  </a:graphic>
                </wp:inline>
              </w:drawing>
            </w:r>
          </w:p>
          <w:p w14:paraId="722DE921" w14:textId="29DAA211" w:rsidR="0048655A" w:rsidRPr="008E6D2C" w:rsidRDefault="00CF0025" w:rsidP="0048655A">
            <w:pPr>
              <w:spacing w:line="259" w:lineRule="auto"/>
            </w:pPr>
            <w:r>
              <w:lastRenderedPageBreak/>
              <w:br/>
            </w:r>
          </w:p>
        </w:tc>
      </w:tr>
      <w:bookmarkEnd w:id="0"/>
    </w:tbl>
    <w:p w14:paraId="62800767" w14:textId="6690FD44" w:rsidR="00FE6194" w:rsidRDefault="00FE6194" w:rsidP="00C73A94">
      <w:pPr>
        <w:spacing w:after="0"/>
      </w:pPr>
    </w:p>
    <w:sectPr w:rsidR="00FE6194" w:rsidSect="00D245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16B"/>
    <w:multiLevelType w:val="hybridMultilevel"/>
    <w:tmpl w:val="6C765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D0BEF"/>
    <w:multiLevelType w:val="hybridMultilevel"/>
    <w:tmpl w:val="1F6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55843"/>
    <w:multiLevelType w:val="hybridMultilevel"/>
    <w:tmpl w:val="101A04F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811DB"/>
    <w:rsid w:val="000D2A5B"/>
    <w:rsid w:val="000E0EF2"/>
    <w:rsid w:val="00167F85"/>
    <w:rsid w:val="00195B48"/>
    <w:rsid w:val="001C386F"/>
    <w:rsid w:val="001D52BB"/>
    <w:rsid w:val="001E348B"/>
    <w:rsid w:val="00216BB8"/>
    <w:rsid w:val="00231188"/>
    <w:rsid w:val="00245565"/>
    <w:rsid w:val="00247F2C"/>
    <w:rsid w:val="0025283F"/>
    <w:rsid w:val="00252E6B"/>
    <w:rsid w:val="002A1A00"/>
    <w:rsid w:val="002C51D1"/>
    <w:rsid w:val="002F2000"/>
    <w:rsid w:val="0031051B"/>
    <w:rsid w:val="00397E32"/>
    <w:rsid w:val="003D2210"/>
    <w:rsid w:val="003D755D"/>
    <w:rsid w:val="003E27D1"/>
    <w:rsid w:val="003E34C5"/>
    <w:rsid w:val="003F7BA4"/>
    <w:rsid w:val="0048655A"/>
    <w:rsid w:val="00514319"/>
    <w:rsid w:val="00557DE5"/>
    <w:rsid w:val="005A17F0"/>
    <w:rsid w:val="005B1368"/>
    <w:rsid w:val="005C078D"/>
    <w:rsid w:val="00622747"/>
    <w:rsid w:val="006B34BA"/>
    <w:rsid w:val="006D32D2"/>
    <w:rsid w:val="006F26DE"/>
    <w:rsid w:val="006F2BC7"/>
    <w:rsid w:val="0072563B"/>
    <w:rsid w:val="00777238"/>
    <w:rsid w:val="007A4365"/>
    <w:rsid w:val="008000FA"/>
    <w:rsid w:val="008131C8"/>
    <w:rsid w:val="0084241E"/>
    <w:rsid w:val="00871F97"/>
    <w:rsid w:val="008A7C90"/>
    <w:rsid w:val="008E6D2C"/>
    <w:rsid w:val="009001F2"/>
    <w:rsid w:val="00900EFE"/>
    <w:rsid w:val="00933309"/>
    <w:rsid w:val="0093550C"/>
    <w:rsid w:val="009429D5"/>
    <w:rsid w:val="00986B2E"/>
    <w:rsid w:val="0099189B"/>
    <w:rsid w:val="009B48B0"/>
    <w:rsid w:val="009F506C"/>
    <w:rsid w:val="00A16BB1"/>
    <w:rsid w:val="00A459FA"/>
    <w:rsid w:val="00AE7C0C"/>
    <w:rsid w:val="00B00B99"/>
    <w:rsid w:val="00BA2786"/>
    <w:rsid w:val="00BF6CF1"/>
    <w:rsid w:val="00C21795"/>
    <w:rsid w:val="00C3487D"/>
    <w:rsid w:val="00C4025A"/>
    <w:rsid w:val="00C73A94"/>
    <w:rsid w:val="00C867C1"/>
    <w:rsid w:val="00CB0455"/>
    <w:rsid w:val="00CB3C28"/>
    <w:rsid w:val="00CF0025"/>
    <w:rsid w:val="00CF4301"/>
    <w:rsid w:val="00D003F1"/>
    <w:rsid w:val="00D24534"/>
    <w:rsid w:val="00E64F39"/>
    <w:rsid w:val="00E8740F"/>
    <w:rsid w:val="00EB0401"/>
    <w:rsid w:val="00ED3295"/>
    <w:rsid w:val="00EF635D"/>
    <w:rsid w:val="00EF6EE1"/>
    <w:rsid w:val="00F769B9"/>
    <w:rsid w:val="00F91EB4"/>
    <w:rsid w:val="00FE4913"/>
    <w:rsid w:val="00FE6194"/>
    <w:rsid w:val="00FE6F0A"/>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 w:type="paragraph" w:styleId="ListParagraph">
    <w:name w:val="List Paragraph"/>
    <w:basedOn w:val="Normal"/>
    <w:uiPriority w:val="34"/>
    <w:qFormat/>
    <w:rsid w:val="00871F97"/>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9619">
      <w:bodyDiv w:val="1"/>
      <w:marLeft w:val="0"/>
      <w:marRight w:val="0"/>
      <w:marTop w:val="0"/>
      <w:marBottom w:val="0"/>
      <w:divBdr>
        <w:top w:val="none" w:sz="0" w:space="0" w:color="auto"/>
        <w:left w:val="none" w:sz="0" w:space="0" w:color="auto"/>
        <w:bottom w:val="none" w:sz="0" w:space="0" w:color="auto"/>
        <w:right w:val="none" w:sz="0" w:space="0" w:color="auto"/>
      </w:divBdr>
    </w:div>
    <w:div w:id="302200528">
      <w:bodyDiv w:val="1"/>
      <w:marLeft w:val="0"/>
      <w:marRight w:val="0"/>
      <w:marTop w:val="0"/>
      <w:marBottom w:val="0"/>
      <w:divBdr>
        <w:top w:val="none" w:sz="0" w:space="0" w:color="auto"/>
        <w:left w:val="none" w:sz="0" w:space="0" w:color="auto"/>
        <w:bottom w:val="none" w:sz="0" w:space="0" w:color="auto"/>
        <w:right w:val="none" w:sz="0" w:space="0" w:color="auto"/>
      </w:divBdr>
    </w:div>
    <w:div w:id="454983676">
      <w:bodyDiv w:val="1"/>
      <w:marLeft w:val="0"/>
      <w:marRight w:val="0"/>
      <w:marTop w:val="0"/>
      <w:marBottom w:val="0"/>
      <w:divBdr>
        <w:top w:val="none" w:sz="0" w:space="0" w:color="auto"/>
        <w:left w:val="none" w:sz="0" w:space="0" w:color="auto"/>
        <w:bottom w:val="none" w:sz="0" w:space="0" w:color="auto"/>
        <w:right w:val="none" w:sz="0" w:space="0" w:color="auto"/>
      </w:divBdr>
    </w:div>
    <w:div w:id="769273137">
      <w:bodyDiv w:val="1"/>
      <w:marLeft w:val="0"/>
      <w:marRight w:val="0"/>
      <w:marTop w:val="0"/>
      <w:marBottom w:val="0"/>
      <w:divBdr>
        <w:top w:val="none" w:sz="0" w:space="0" w:color="auto"/>
        <w:left w:val="none" w:sz="0" w:space="0" w:color="auto"/>
        <w:bottom w:val="none" w:sz="0" w:space="0" w:color="auto"/>
        <w:right w:val="none" w:sz="0" w:space="0" w:color="auto"/>
      </w:divBdr>
    </w:div>
    <w:div w:id="1557474755">
      <w:bodyDiv w:val="1"/>
      <w:marLeft w:val="0"/>
      <w:marRight w:val="0"/>
      <w:marTop w:val="0"/>
      <w:marBottom w:val="0"/>
      <w:divBdr>
        <w:top w:val="none" w:sz="0" w:space="0" w:color="auto"/>
        <w:left w:val="none" w:sz="0" w:space="0" w:color="auto"/>
        <w:bottom w:val="none" w:sz="0" w:space="0" w:color="auto"/>
        <w:right w:val="none" w:sz="0" w:space="0" w:color="auto"/>
      </w:divBdr>
    </w:div>
    <w:div w:id="185776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722082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88A28-5B10-48BE-B8D6-480C75C53C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BA8C9D-D360-4D78-8251-30B8FCA6929F}"/>
</file>

<file path=customXml/itemProps3.xml><?xml version="1.0" encoding="utf-8"?>
<ds:datastoreItem xmlns:ds="http://schemas.openxmlformats.org/officeDocument/2006/customXml" ds:itemID="{422B8E45-4B7B-44CA-883D-6EABF409C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381</Words>
  <Characters>2192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Natalie Au</cp:lastModifiedBy>
  <cp:revision>11</cp:revision>
  <dcterms:created xsi:type="dcterms:W3CDTF">2024-01-17T19:27:00Z</dcterms:created>
  <dcterms:modified xsi:type="dcterms:W3CDTF">2024-01-17T19:33:00Z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