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10EA" w14:textId="68130E90" w:rsidR="00245565" w:rsidRPr="005A17F0" w:rsidRDefault="00245565" w:rsidP="008E6D2C">
      <w:pPr>
        <w:rPr>
          <w:rFonts w:asciiTheme="majorHAnsi" w:eastAsia="Calibri" w:hAnsiTheme="majorHAnsi" w:cstheme="majorHAnsi"/>
        </w:rPr>
      </w:pPr>
      <w:r w:rsidRPr="005A17F0">
        <w:rPr>
          <w:rFonts w:asciiTheme="majorHAnsi" w:eastAsia="Calibri" w:hAnsiTheme="majorHAnsi" w:cstheme="majorHAnsi"/>
        </w:rPr>
        <w:t>Delivery Science Grants Program</w:t>
      </w:r>
    </w:p>
    <w:p w14:paraId="2466B9C1" w14:textId="277E9DE9" w:rsidR="008E6D2C" w:rsidRDefault="003F7BA4" w:rsidP="008E6D2C">
      <w:r w:rsidRPr="003F7BA4">
        <w:rPr>
          <w:rFonts w:ascii="Calibri" w:eastAsia="Calibri" w:hAnsi="Calibri" w:cs="Calibri"/>
          <w:color w:val="4472C4" w:themeColor="accent1"/>
          <w:sz w:val="28"/>
          <w:szCs w:val="28"/>
        </w:rPr>
        <w:t>Prospective Mammography AI Evaluation Improved Cancer Detection and Time-to-Detection</w:t>
      </w:r>
      <w:r w:rsidRPr="003F7BA4">
        <w:rPr>
          <w:rFonts w:ascii="Calibri" w:eastAsia="Calibri" w:hAnsi="Calibri" w:cs="Calibri"/>
          <w:color w:val="4472C4" w:themeColor="accent1"/>
          <w:sz w:val="28"/>
          <w:szCs w:val="28"/>
        </w:rPr>
        <w:t xml:space="preserve"> </w:t>
      </w:r>
    </w:p>
    <w:p w14:paraId="3ACE6DE9" w14:textId="1DB3A2E6" w:rsidR="00BA2786" w:rsidRDefault="003F7BA4" w:rsidP="00D24534">
      <w:pPr>
        <w:spacing w:after="0"/>
      </w:pPr>
      <w:r w:rsidRPr="003F7BA4">
        <w:t>Vignesh A. Arasu, MD, PhD; Andrew L. Avins, MD, MPH; Laurel A. Habel, PhD; Jason D. Balkman, MD; Dorota J. Wisner, MD PhD; Dan Navarro, MD; Catherine Lee, PhD</w:t>
      </w:r>
    </w:p>
    <w:p w14:paraId="7D76C285" w14:textId="77777777" w:rsidR="00BA2786" w:rsidRDefault="00BA2786" w:rsidP="00D24534">
      <w:pPr>
        <w:spacing w:after="0"/>
      </w:pP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8E6D2C" w:rsidRPr="008E6D2C" w14:paraId="307289BF" w14:textId="77777777" w:rsidTr="00C73A94">
        <w:trPr>
          <w:trHeight w:val="816"/>
        </w:trPr>
        <w:tc>
          <w:tcPr>
            <w:tcW w:w="1975" w:type="dxa"/>
          </w:tcPr>
          <w:p w14:paraId="2C7E2D09" w14:textId="77777777" w:rsidR="0048655A" w:rsidRPr="008E6D2C" w:rsidRDefault="0048655A" w:rsidP="0048655A">
            <w:pPr>
              <w:spacing w:line="259" w:lineRule="auto"/>
            </w:pPr>
            <w:bookmarkStart w:id="0" w:name="_Hlk54105970"/>
            <w:r w:rsidRPr="008E6D2C">
              <w:t>Challenge</w:t>
            </w:r>
          </w:p>
        </w:tc>
        <w:tc>
          <w:tcPr>
            <w:tcW w:w="8730" w:type="dxa"/>
          </w:tcPr>
          <w:p w14:paraId="7F9273D4" w14:textId="067B9168" w:rsidR="0048655A" w:rsidRPr="008E6D2C" w:rsidRDefault="00247F2C" w:rsidP="0048655A">
            <w:pPr>
              <w:spacing w:line="259" w:lineRule="auto"/>
              <w:rPr>
                <w:b/>
                <w:bCs/>
              </w:rPr>
            </w:pPr>
            <w:r w:rsidRPr="00247F2C">
              <w:rPr>
                <w:b/>
                <w:bCs/>
              </w:rPr>
              <w:t>At KPNC, over 100 radiologists read screening mammograms and demonstrate a 12-fold difference in cancer detection rates, including some below common guideline thresholds. Efficient time-to-exam reading times are challenged by volumes and staffing shortages, potentially inducing diagnostic delays.</w:t>
            </w:r>
          </w:p>
        </w:tc>
      </w:tr>
      <w:tr w:rsidR="008E6D2C" w:rsidRPr="008E6D2C" w14:paraId="67D435C8" w14:textId="77777777" w:rsidTr="00C73A94">
        <w:trPr>
          <w:trHeight w:val="1091"/>
        </w:trPr>
        <w:tc>
          <w:tcPr>
            <w:tcW w:w="1975" w:type="dxa"/>
          </w:tcPr>
          <w:p w14:paraId="351B366F" w14:textId="77777777" w:rsidR="0048655A" w:rsidRPr="008E6D2C" w:rsidRDefault="0048655A" w:rsidP="0048655A">
            <w:pPr>
              <w:spacing w:line="259" w:lineRule="auto"/>
            </w:pPr>
            <w:r w:rsidRPr="008E6D2C">
              <w:t>Existing Evidence</w:t>
            </w:r>
          </w:p>
        </w:tc>
        <w:tc>
          <w:tcPr>
            <w:tcW w:w="8730" w:type="dxa"/>
          </w:tcPr>
          <w:p w14:paraId="70041630" w14:textId="7CEE749A" w:rsidR="0048655A" w:rsidRPr="008E6D2C" w:rsidRDefault="00900EFE" w:rsidP="0048655A">
            <w:pPr>
              <w:spacing w:line="259" w:lineRule="auto"/>
            </w:pPr>
            <w:r w:rsidRPr="00900EFE">
              <w:t>Retrospectively, we demonstrated that high AI risk scores can identify 25-50% of breast cancers missed at screening. Whether it can achieve similar results prospectively and also help with real-time exam prioritization for diagnosing cancers same-day is unknown.</w:t>
            </w:r>
          </w:p>
        </w:tc>
      </w:tr>
      <w:tr w:rsidR="008E6D2C" w:rsidRPr="008E6D2C" w14:paraId="136E6453" w14:textId="77777777" w:rsidTr="00C73A94">
        <w:trPr>
          <w:trHeight w:val="262"/>
        </w:trPr>
        <w:tc>
          <w:tcPr>
            <w:tcW w:w="1975" w:type="dxa"/>
          </w:tcPr>
          <w:p w14:paraId="53202DB8" w14:textId="77777777" w:rsidR="0048655A" w:rsidRPr="008E6D2C" w:rsidRDefault="0048655A" w:rsidP="0048655A">
            <w:pPr>
              <w:spacing w:line="259" w:lineRule="auto"/>
            </w:pPr>
            <w:r w:rsidRPr="008E6D2C">
              <w:t>Target Population</w:t>
            </w:r>
          </w:p>
        </w:tc>
        <w:tc>
          <w:tcPr>
            <w:tcW w:w="8730" w:type="dxa"/>
          </w:tcPr>
          <w:p w14:paraId="7A71CC0C" w14:textId="77777777" w:rsidR="00900EFE" w:rsidRDefault="00900EFE" w:rsidP="00900EFE">
            <w:r>
              <w:t xml:space="preserve">Women undergoing mammographic screening </w:t>
            </w:r>
          </w:p>
          <w:p w14:paraId="1486D38C" w14:textId="7AADF30C" w:rsidR="0048655A" w:rsidRPr="008E6D2C" w:rsidRDefault="00900EFE" w:rsidP="00900EFE">
            <w:pPr>
              <w:spacing w:line="259" w:lineRule="auto"/>
            </w:pPr>
            <w:r>
              <w:t>(predominately aged 40–75 years)</w:t>
            </w:r>
          </w:p>
        </w:tc>
      </w:tr>
      <w:tr w:rsidR="008E6D2C" w:rsidRPr="008E6D2C" w14:paraId="5B80BED5" w14:textId="77777777" w:rsidTr="00C73A94">
        <w:trPr>
          <w:trHeight w:val="276"/>
        </w:trPr>
        <w:tc>
          <w:tcPr>
            <w:tcW w:w="1975" w:type="dxa"/>
          </w:tcPr>
          <w:p w14:paraId="0D0B7C0D" w14:textId="77777777" w:rsidR="0048655A" w:rsidRPr="008E6D2C" w:rsidRDefault="0048655A" w:rsidP="0048655A">
            <w:pPr>
              <w:spacing w:line="259" w:lineRule="auto"/>
            </w:pPr>
            <w:r w:rsidRPr="008E6D2C">
              <w:t>Intervention or Exposure</w:t>
            </w:r>
          </w:p>
        </w:tc>
        <w:tc>
          <w:tcPr>
            <w:tcW w:w="8730" w:type="dxa"/>
          </w:tcPr>
          <w:p w14:paraId="0CA2C589" w14:textId="251D0664" w:rsidR="0048655A" w:rsidRPr="008E6D2C" w:rsidRDefault="0025283F" w:rsidP="0048655A">
            <w:pPr>
              <w:spacing w:line="259" w:lineRule="auto"/>
            </w:pPr>
            <w:r w:rsidRPr="0025283F">
              <w:t>AI-based prioritization of mammography screening exam interpretation, including evaluation of 5 available commercial or open-source algorithms.</w:t>
            </w:r>
          </w:p>
        </w:tc>
      </w:tr>
      <w:tr w:rsidR="008E6D2C" w:rsidRPr="008E6D2C" w14:paraId="13978FD3" w14:textId="77777777" w:rsidTr="00C73A94">
        <w:trPr>
          <w:trHeight w:val="2282"/>
        </w:trPr>
        <w:tc>
          <w:tcPr>
            <w:tcW w:w="1975" w:type="dxa"/>
          </w:tcPr>
          <w:p w14:paraId="7525D5B4" w14:textId="77777777" w:rsidR="0048655A" w:rsidRPr="008E6D2C" w:rsidRDefault="0048655A" w:rsidP="0048655A">
            <w:pPr>
              <w:spacing w:line="259" w:lineRule="auto"/>
              <w:rPr>
                <w:b/>
                <w:bCs/>
              </w:rPr>
            </w:pPr>
            <w:r w:rsidRPr="008E6D2C">
              <w:rPr>
                <w:b/>
                <w:bCs/>
              </w:rPr>
              <w:t>Outcomes/Key Findings</w:t>
            </w:r>
          </w:p>
        </w:tc>
        <w:tc>
          <w:tcPr>
            <w:tcW w:w="8730" w:type="dxa"/>
          </w:tcPr>
          <w:p w14:paraId="19D6EBB3" w14:textId="77777777" w:rsidR="00C21795" w:rsidRPr="00C21795" w:rsidRDefault="00C21795" w:rsidP="00C21795">
            <w:pPr>
              <w:rPr>
                <w:b/>
                <w:bCs/>
              </w:rPr>
            </w:pPr>
            <w:r w:rsidRPr="00C21795">
              <w:rPr>
                <w:b/>
                <w:bCs/>
              </w:rPr>
              <w:t>A retrospective evaluation demonstrated that:</w:t>
            </w:r>
          </w:p>
          <w:p w14:paraId="651CE4D4" w14:textId="77777777" w:rsidR="00C21795" w:rsidRPr="00C21795" w:rsidRDefault="00C21795" w:rsidP="00C21795">
            <w:pPr>
              <w:rPr>
                <w:b/>
                <w:bCs/>
              </w:rPr>
            </w:pPr>
            <w:r w:rsidRPr="00C21795">
              <w:rPr>
                <w:b/>
                <w:bCs/>
              </w:rPr>
              <w:t>• KPNC radiologists alone outperform AI algorithms alone (AUC 0.97 vs. AUC 0.83-0.91).</w:t>
            </w:r>
          </w:p>
          <w:p w14:paraId="208378B4" w14:textId="77777777" w:rsidR="00C21795" w:rsidRPr="00C21795" w:rsidRDefault="00C21795" w:rsidP="00C21795">
            <w:pPr>
              <w:rPr>
                <w:b/>
                <w:bCs/>
              </w:rPr>
            </w:pPr>
            <w:r w:rsidRPr="00C21795">
              <w:rPr>
                <w:b/>
                <w:bCs/>
              </w:rPr>
              <w:t>• Radiologist PLUS AI augmented cancer detection increased detection vs. radiologist alone, with AI identifying 25-50% of cancers not diagnosed by</w:t>
            </w:r>
          </w:p>
          <w:p w14:paraId="6EBA4324" w14:textId="77777777" w:rsidR="00C21795" w:rsidRPr="00C21795" w:rsidRDefault="00C21795" w:rsidP="00C21795">
            <w:pPr>
              <w:rPr>
                <w:b/>
                <w:bCs/>
              </w:rPr>
            </w:pPr>
            <w:r w:rsidRPr="00C21795">
              <w:rPr>
                <w:b/>
                <w:bCs/>
              </w:rPr>
              <w:t>radiologists. A pilot prospective AI randomized controlled trial (RCT)</w:t>
            </w:r>
          </w:p>
          <w:p w14:paraId="7AAEAD4B" w14:textId="77777777" w:rsidR="00C21795" w:rsidRPr="00C21795" w:rsidRDefault="00C21795" w:rsidP="00C21795">
            <w:pPr>
              <w:rPr>
                <w:b/>
                <w:bCs/>
              </w:rPr>
            </w:pPr>
            <w:r w:rsidRPr="00C21795">
              <w:rPr>
                <w:b/>
                <w:bCs/>
              </w:rPr>
              <w:t>in the Napa Solano service area found:</w:t>
            </w:r>
          </w:p>
          <w:p w14:paraId="1A3B01C5" w14:textId="77777777" w:rsidR="00C21795" w:rsidRPr="00C21795" w:rsidRDefault="00C21795" w:rsidP="00C21795">
            <w:pPr>
              <w:rPr>
                <w:b/>
                <w:bCs/>
              </w:rPr>
            </w:pPr>
            <w:r w:rsidRPr="00C21795">
              <w:rPr>
                <w:b/>
                <w:bCs/>
              </w:rPr>
              <w:t>• Among 72 women diagnosed with breast cancer, AI correctly assigned 58 (80%) a high-risk score</w:t>
            </w:r>
          </w:p>
          <w:p w14:paraId="3CD35CB0" w14:textId="64BFAF37" w:rsidR="0048655A" w:rsidRPr="008E6D2C" w:rsidRDefault="00C21795" w:rsidP="00C21795">
            <w:pPr>
              <w:spacing w:line="259" w:lineRule="auto"/>
            </w:pPr>
            <w:r w:rsidRPr="00C21795">
              <w:rPr>
                <w:b/>
                <w:bCs/>
              </w:rPr>
              <w:t>• AI prioritization led to many more women with breast cancer potentially receiving same day results than without such prioritization.</w:t>
            </w:r>
          </w:p>
        </w:tc>
      </w:tr>
      <w:tr w:rsidR="008E6D2C" w:rsidRPr="008E6D2C" w14:paraId="62542513" w14:textId="77777777" w:rsidTr="00C73A94">
        <w:trPr>
          <w:trHeight w:val="816"/>
        </w:trPr>
        <w:tc>
          <w:tcPr>
            <w:tcW w:w="1975" w:type="dxa"/>
          </w:tcPr>
          <w:p w14:paraId="38755ADC" w14:textId="77777777" w:rsidR="0048655A" w:rsidRPr="008E6D2C" w:rsidRDefault="0048655A" w:rsidP="0048655A">
            <w:pPr>
              <w:spacing w:line="259" w:lineRule="auto"/>
              <w:rPr>
                <w:b/>
                <w:bCs/>
              </w:rPr>
            </w:pPr>
            <w:r w:rsidRPr="008E6D2C">
              <w:rPr>
                <w:b/>
                <w:bCs/>
              </w:rPr>
              <w:t>Resulting Action/Change</w:t>
            </w:r>
          </w:p>
        </w:tc>
        <w:tc>
          <w:tcPr>
            <w:tcW w:w="8730" w:type="dxa"/>
          </w:tcPr>
          <w:p w14:paraId="092B6F29" w14:textId="0FD54654" w:rsidR="0048655A" w:rsidRPr="008E6D2C" w:rsidRDefault="0093550C" w:rsidP="0093550C">
            <w:pPr>
              <w:rPr>
                <w:b/>
                <w:bCs/>
              </w:rPr>
            </w:pPr>
            <w:r w:rsidRPr="0093550C">
              <w:rPr>
                <w:b/>
                <w:bCs/>
              </w:rPr>
              <w:t>Results led to region-wide trial to evaluate improvements in cancer detection, informed a KP-IT computer vision AI use case for national strategy, and proof-of-concept technology and workflows, and</w:t>
            </w:r>
            <w:r>
              <w:rPr>
                <w:b/>
                <w:bCs/>
              </w:rPr>
              <w:t xml:space="preserve"> </w:t>
            </w:r>
            <w:r w:rsidRPr="0093550C">
              <w:rPr>
                <w:b/>
                <w:bCs/>
              </w:rPr>
              <w:t xml:space="preserve">informed data &amp; technology infrastructure needs for </w:t>
            </w:r>
            <w:proofErr w:type="spellStart"/>
            <w:r w:rsidRPr="0093550C">
              <w:rPr>
                <w:b/>
                <w:bCs/>
              </w:rPr>
              <w:t>atscale</w:t>
            </w:r>
            <w:proofErr w:type="spellEnd"/>
            <w:r w:rsidRPr="0093550C">
              <w:rPr>
                <w:b/>
                <w:bCs/>
              </w:rPr>
              <w:t xml:space="preserve"> AI actions.</w:t>
            </w:r>
          </w:p>
        </w:tc>
      </w:tr>
      <w:tr w:rsidR="008E6D2C" w:rsidRPr="008E6D2C" w14:paraId="57800790" w14:textId="77777777" w:rsidTr="00C73A94">
        <w:trPr>
          <w:trHeight w:val="816"/>
        </w:trPr>
        <w:tc>
          <w:tcPr>
            <w:tcW w:w="1975" w:type="dxa"/>
          </w:tcPr>
          <w:p w14:paraId="6C4E04AC" w14:textId="161310DB" w:rsidR="00CB0455" w:rsidRPr="008E6D2C" w:rsidRDefault="00CB0455" w:rsidP="0048655A">
            <w:r w:rsidRPr="008E6D2C">
              <w:t>Additional Recommendations</w:t>
            </w:r>
          </w:p>
        </w:tc>
        <w:tc>
          <w:tcPr>
            <w:tcW w:w="8730" w:type="dxa"/>
          </w:tcPr>
          <w:p w14:paraId="08163871" w14:textId="04A5C0B4" w:rsidR="00CB0455" w:rsidRPr="008E6D2C" w:rsidRDefault="00BF6CF1" w:rsidP="0048655A">
            <w:r w:rsidRPr="00BF6CF1">
              <w:t>The results demonstrated the importance of prospectively evaluating technologies to inform adoption. Operational leaders can consider how results may inform TPMG AI strategy and development of proprietary workflows, as well as AI investments priorities.</w:t>
            </w:r>
          </w:p>
        </w:tc>
      </w:tr>
      <w:tr w:rsidR="008E6D2C" w:rsidRPr="008E6D2C" w14:paraId="21F6FB6D" w14:textId="77777777" w:rsidTr="00C73A94">
        <w:trPr>
          <w:trHeight w:val="552"/>
        </w:trPr>
        <w:tc>
          <w:tcPr>
            <w:tcW w:w="1975" w:type="dxa"/>
          </w:tcPr>
          <w:p w14:paraId="511F380C" w14:textId="77777777" w:rsidR="0048655A" w:rsidRPr="008E6D2C" w:rsidRDefault="0048655A" w:rsidP="0048655A">
            <w:pPr>
              <w:spacing w:line="259" w:lineRule="auto"/>
            </w:pPr>
            <w:r w:rsidRPr="008E6D2C">
              <w:t>Implementation Tools</w:t>
            </w:r>
            <w:r w:rsidRPr="008E6D2C">
              <w:tab/>
            </w:r>
          </w:p>
        </w:tc>
        <w:tc>
          <w:tcPr>
            <w:tcW w:w="8730" w:type="dxa"/>
          </w:tcPr>
          <w:p w14:paraId="35B5FEA6" w14:textId="44E18D77" w:rsidR="0048655A" w:rsidRPr="008E6D2C" w:rsidRDefault="007A4365" w:rsidP="0048655A">
            <w:pPr>
              <w:spacing w:line="259" w:lineRule="auto"/>
            </w:pPr>
            <w:r w:rsidRPr="007A4365">
              <w:t>Epic, Radiant</w:t>
            </w:r>
          </w:p>
        </w:tc>
      </w:tr>
      <w:tr w:rsidR="008E6D2C" w:rsidRPr="008E6D2C" w14:paraId="02D4678D" w14:textId="77777777" w:rsidTr="00C73A94">
        <w:trPr>
          <w:trHeight w:val="552"/>
        </w:trPr>
        <w:tc>
          <w:tcPr>
            <w:tcW w:w="1975" w:type="dxa"/>
          </w:tcPr>
          <w:p w14:paraId="1B184543" w14:textId="77777777" w:rsidR="0048655A" w:rsidRPr="008E6D2C" w:rsidRDefault="0048655A" w:rsidP="0048655A">
            <w:pPr>
              <w:spacing w:line="259" w:lineRule="auto"/>
            </w:pPr>
            <w:r w:rsidRPr="008E6D2C">
              <w:t>Implementation Measurement</w:t>
            </w:r>
          </w:p>
        </w:tc>
        <w:tc>
          <w:tcPr>
            <w:tcW w:w="8730" w:type="dxa"/>
          </w:tcPr>
          <w:p w14:paraId="0D25EBD1" w14:textId="5773FDAD" w:rsidR="0048655A" w:rsidRPr="008E6D2C" w:rsidRDefault="007A4365" w:rsidP="0048655A">
            <w:pPr>
              <w:spacing w:line="259" w:lineRule="auto"/>
            </w:pPr>
            <w:r w:rsidRPr="007A4365">
              <w:t>Rate of rollout regionally, automated integration in workflow, cancer detection, time from mammogram to cancer diagnosis, cancer outcomes, diagnostic variability between radiologists after AI implementation</w:t>
            </w:r>
          </w:p>
        </w:tc>
      </w:tr>
      <w:tr w:rsidR="008E6D2C" w:rsidRPr="008E6D2C" w14:paraId="66558595" w14:textId="77777777" w:rsidTr="00C73A94">
        <w:trPr>
          <w:trHeight w:val="538"/>
        </w:trPr>
        <w:tc>
          <w:tcPr>
            <w:tcW w:w="1975" w:type="dxa"/>
          </w:tcPr>
          <w:p w14:paraId="29954FA9" w14:textId="77777777" w:rsidR="0048655A" w:rsidRPr="008E6D2C" w:rsidRDefault="0048655A" w:rsidP="0048655A">
            <w:pPr>
              <w:spacing w:line="259" w:lineRule="auto"/>
            </w:pPr>
            <w:r w:rsidRPr="008E6D2C">
              <w:t>Reference</w:t>
            </w:r>
          </w:p>
        </w:tc>
        <w:tc>
          <w:tcPr>
            <w:tcW w:w="8730" w:type="dxa"/>
          </w:tcPr>
          <w:p w14:paraId="011391AB" w14:textId="77777777" w:rsidR="00195B48" w:rsidRDefault="00195B48" w:rsidP="00195B48">
            <w:pPr>
              <w:rPr>
                <w:rFonts w:ascii="Calibri" w:hAnsi="Calibri" w:cs="Calibri"/>
                <w:color w:val="0563C1"/>
                <w:u w:val="single"/>
              </w:rPr>
            </w:pPr>
            <w:hyperlink r:id="rId8" w:history="1">
              <w:r>
                <w:rPr>
                  <w:rStyle w:val="Hyperlink"/>
                  <w:rFonts w:ascii="Calibri" w:hAnsi="Calibri" w:cs="Calibri"/>
                </w:rPr>
                <w:t>https://pubmed.ncbi.nlm.nih.gov/37278627/</w:t>
              </w:r>
            </w:hyperlink>
          </w:p>
          <w:p w14:paraId="722DE921" w14:textId="667D9763" w:rsidR="0048655A" w:rsidRPr="008E6D2C" w:rsidRDefault="00CF0025" w:rsidP="0048655A">
            <w:pPr>
              <w:spacing w:line="259" w:lineRule="auto"/>
            </w:pPr>
            <w:r>
              <w:lastRenderedPageBreak/>
              <w:br/>
            </w:r>
            <w:r>
              <w:rPr>
                <w:noProof/>
              </w:rPr>
              <w:drawing>
                <wp:inline distT="0" distB="0" distL="0" distR="0" wp14:anchorId="7B258DB9" wp14:editId="118C4903">
                  <wp:extent cx="2914650" cy="2772788"/>
                  <wp:effectExtent l="0" t="0" r="0" b="8890"/>
                  <wp:docPr id="1" name="Picture 1"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919234" cy="2777149"/>
                          </a:xfrm>
                          <a:prstGeom prst="rect">
                            <a:avLst/>
                          </a:prstGeom>
                        </pic:spPr>
                      </pic:pic>
                    </a:graphicData>
                  </a:graphic>
                </wp:inline>
              </w:drawing>
            </w:r>
          </w:p>
        </w:tc>
      </w:tr>
      <w:bookmarkEnd w:id="0"/>
    </w:tbl>
    <w:p w14:paraId="62800767" w14:textId="77777777" w:rsidR="00FE6194" w:rsidRDefault="00FE6194" w:rsidP="00C73A94">
      <w:pPr>
        <w:spacing w:after="0"/>
      </w:pPr>
    </w:p>
    <w:sectPr w:rsidR="00FE6194" w:rsidSect="00D24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55843"/>
    <w:multiLevelType w:val="hybridMultilevel"/>
    <w:tmpl w:val="101A04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195B48"/>
    <w:rsid w:val="001D52BB"/>
    <w:rsid w:val="001E348B"/>
    <w:rsid w:val="00245565"/>
    <w:rsid w:val="00247F2C"/>
    <w:rsid w:val="0025283F"/>
    <w:rsid w:val="002A1A00"/>
    <w:rsid w:val="0031051B"/>
    <w:rsid w:val="00397E32"/>
    <w:rsid w:val="003D755D"/>
    <w:rsid w:val="003E27D1"/>
    <w:rsid w:val="003E34C5"/>
    <w:rsid w:val="003F7BA4"/>
    <w:rsid w:val="0048655A"/>
    <w:rsid w:val="00514319"/>
    <w:rsid w:val="005A17F0"/>
    <w:rsid w:val="00622747"/>
    <w:rsid w:val="006B34BA"/>
    <w:rsid w:val="006D32D2"/>
    <w:rsid w:val="0072563B"/>
    <w:rsid w:val="00777238"/>
    <w:rsid w:val="007A4365"/>
    <w:rsid w:val="008131C8"/>
    <w:rsid w:val="00871F97"/>
    <w:rsid w:val="008A7C90"/>
    <w:rsid w:val="008E6D2C"/>
    <w:rsid w:val="009001F2"/>
    <w:rsid w:val="00900EFE"/>
    <w:rsid w:val="00933309"/>
    <w:rsid w:val="0093550C"/>
    <w:rsid w:val="00A16BB1"/>
    <w:rsid w:val="00A459FA"/>
    <w:rsid w:val="00BA2786"/>
    <w:rsid w:val="00BF6CF1"/>
    <w:rsid w:val="00C21795"/>
    <w:rsid w:val="00C3487D"/>
    <w:rsid w:val="00C4025A"/>
    <w:rsid w:val="00C73A94"/>
    <w:rsid w:val="00C867C1"/>
    <w:rsid w:val="00CB0455"/>
    <w:rsid w:val="00CF0025"/>
    <w:rsid w:val="00CF4301"/>
    <w:rsid w:val="00D003F1"/>
    <w:rsid w:val="00D24534"/>
    <w:rsid w:val="00E8740F"/>
    <w:rsid w:val="00EB0401"/>
    <w:rsid w:val="00ED3295"/>
    <w:rsid w:val="00EF635D"/>
    <w:rsid w:val="00EF6EE1"/>
    <w:rsid w:val="00F91EB4"/>
    <w:rsid w:val="00FE6194"/>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871F97"/>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9619">
      <w:bodyDiv w:val="1"/>
      <w:marLeft w:val="0"/>
      <w:marRight w:val="0"/>
      <w:marTop w:val="0"/>
      <w:marBottom w:val="0"/>
      <w:divBdr>
        <w:top w:val="none" w:sz="0" w:space="0" w:color="auto"/>
        <w:left w:val="none" w:sz="0" w:space="0" w:color="auto"/>
        <w:bottom w:val="none" w:sz="0" w:space="0" w:color="auto"/>
        <w:right w:val="none" w:sz="0" w:space="0" w:color="auto"/>
      </w:divBdr>
    </w:div>
    <w:div w:id="769273137">
      <w:bodyDiv w:val="1"/>
      <w:marLeft w:val="0"/>
      <w:marRight w:val="0"/>
      <w:marTop w:val="0"/>
      <w:marBottom w:val="0"/>
      <w:divBdr>
        <w:top w:val="none" w:sz="0" w:space="0" w:color="auto"/>
        <w:left w:val="none" w:sz="0" w:space="0" w:color="auto"/>
        <w:bottom w:val="none" w:sz="0" w:space="0" w:color="auto"/>
        <w:right w:val="none" w:sz="0" w:space="0" w:color="auto"/>
      </w:divBdr>
    </w:div>
    <w:div w:id="1557474755">
      <w:bodyDiv w:val="1"/>
      <w:marLeft w:val="0"/>
      <w:marRight w:val="0"/>
      <w:marTop w:val="0"/>
      <w:marBottom w:val="0"/>
      <w:divBdr>
        <w:top w:val="none" w:sz="0" w:space="0" w:color="auto"/>
        <w:left w:val="none" w:sz="0" w:space="0" w:color="auto"/>
        <w:bottom w:val="none" w:sz="0" w:space="0" w:color="auto"/>
        <w:right w:val="none" w:sz="0" w:space="0" w:color="auto"/>
      </w:divBdr>
    </w:div>
    <w:div w:id="1857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27862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29BEE-F0C4-4D71-B7B8-D5352F86F7F9}"/>
</file>

<file path=customXml/itemProps3.xml><?xml version="1.0" encoding="utf-8"?>
<ds:datastoreItem xmlns:ds="http://schemas.openxmlformats.org/officeDocument/2006/customXml" ds:itemID="{422B8E45-4B7B-44CA-883D-6EABF409C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406</Words>
  <Characters>2335</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17</cp:revision>
  <dcterms:created xsi:type="dcterms:W3CDTF">2024-01-17T18:16:00Z</dcterms:created>
  <dcterms:modified xsi:type="dcterms:W3CDTF">2024-01-17T18:30:00Z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