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D11B" w14:textId="4719BAD5" w:rsidR="00746FF7" w:rsidRDefault="20CB45B2" w:rsidP="00E8348C">
      <w:pPr>
        <w:pStyle w:val="Heading1"/>
      </w:pPr>
      <w:r>
        <w:t>Identifying v</w:t>
      </w:r>
      <w:r w:rsidR="00426C21">
        <w:t xml:space="preserve">ariation and </w:t>
      </w:r>
      <w:r w:rsidR="36EF21F5">
        <w:t>b</w:t>
      </w:r>
      <w:r w:rsidR="00426C21">
        <w:t>arriers</w:t>
      </w:r>
      <w:r w:rsidR="13CF9486">
        <w:t xml:space="preserve"> to use of non-invasive c</w:t>
      </w:r>
      <w:r w:rsidR="00426C21">
        <w:t xml:space="preserve">ardiac </w:t>
      </w:r>
      <w:r w:rsidR="3947F4A5">
        <w:t>i</w:t>
      </w:r>
      <w:r w:rsidR="00426C21">
        <w:t xml:space="preserve">maging </w:t>
      </w:r>
      <w:r w:rsidR="54C6F13E">
        <w:t>t</w:t>
      </w:r>
      <w:r w:rsidR="00426C21">
        <w:t xml:space="preserve">ests for </w:t>
      </w:r>
      <w:r w:rsidR="313FC6C3">
        <w:t>s</w:t>
      </w:r>
      <w:r w:rsidR="00426C21">
        <w:t xml:space="preserve">uspected </w:t>
      </w:r>
      <w:r w:rsidR="3B61CF69">
        <w:t>c</w:t>
      </w:r>
      <w:r w:rsidR="00426C21">
        <w:t xml:space="preserve">oronary </w:t>
      </w:r>
      <w:r w:rsidR="3C3DF201">
        <w:t>h</w:t>
      </w:r>
      <w:r w:rsidR="00426C21">
        <w:t xml:space="preserve">eart </w:t>
      </w:r>
      <w:r w:rsidR="14B7EB80">
        <w:t>d</w:t>
      </w:r>
      <w:r w:rsidR="00426C21">
        <w:t>isease</w:t>
      </w:r>
    </w:p>
    <w:p w14:paraId="1B69E19B" w14:textId="77777777" w:rsidR="00426C21" w:rsidRDefault="00426C21" w:rsidP="00426C21">
      <w:r>
        <w:t xml:space="preserve">Jamal Rana and Alan, Go </w:t>
      </w:r>
    </w:p>
    <w:tbl>
      <w:tblPr>
        <w:tblStyle w:val="TableGrid"/>
        <w:tblW w:w="9470" w:type="dxa"/>
        <w:tblLook w:val="04A0" w:firstRow="1" w:lastRow="0" w:firstColumn="1" w:lastColumn="0" w:noHBand="0" w:noVBand="1"/>
      </w:tblPr>
      <w:tblGrid>
        <w:gridCol w:w="2638"/>
        <w:gridCol w:w="6832"/>
      </w:tblGrid>
      <w:tr w:rsidR="00E8348C" w:rsidRPr="008A7C90" w14:paraId="5E8C4A25" w14:textId="77777777" w:rsidTr="47374192">
        <w:trPr>
          <w:trHeight w:val="816"/>
        </w:trPr>
        <w:tc>
          <w:tcPr>
            <w:tcW w:w="2638" w:type="dxa"/>
          </w:tcPr>
          <w:p w14:paraId="5B70F066" w14:textId="77777777" w:rsidR="00E8348C" w:rsidRPr="00052115" w:rsidRDefault="00E8348C" w:rsidP="005D5EA7">
            <w:pPr>
              <w:spacing w:after="160" w:line="259" w:lineRule="auto"/>
              <w:rPr>
                <w:b/>
                <w:bCs/>
              </w:rPr>
            </w:pPr>
            <w:bookmarkStart w:id="0" w:name="_Hlk54105970"/>
            <w:r w:rsidRPr="00052115">
              <w:rPr>
                <w:b/>
                <w:bCs/>
              </w:rPr>
              <w:t>Challenge</w:t>
            </w:r>
          </w:p>
        </w:tc>
        <w:tc>
          <w:tcPr>
            <w:tcW w:w="6832" w:type="dxa"/>
          </w:tcPr>
          <w:p w14:paraId="16C35478" w14:textId="3E7B7C88" w:rsidR="00E8348C" w:rsidRPr="00052115" w:rsidRDefault="00052115" w:rsidP="00E8348C">
            <w:pPr>
              <w:rPr>
                <w:b/>
                <w:bCs/>
              </w:rPr>
            </w:pPr>
            <w:r w:rsidRPr="00052115">
              <w:rPr>
                <w:b/>
                <w:bCs/>
              </w:rPr>
              <w:t>Coronary CT angiography has high specificity compared to other cardiac imaging tests and is low cost, though whether it is used appropriately vs. other tests has not been well evaluated in community-based populations.</w:t>
            </w:r>
            <w:r w:rsidR="00426C21" w:rsidRPr="00052115">
              <w:rPr>
                <w:b/>
                <w:bCs/>
              </w:rPr>
              <w:t xml:space="preserve"> </w:t>
            </w:r>
          </w:p>
        </w:tc>
      </w:tr>
      <w:tr w:rsidR="00E8348C" w:rsidRPr="008A7C90" w14:paraId="1E76C968" w14:textId="77777777" w:rsidTr="47374192">
        <w:trPr>
          <w:trHeight w:val="1091"/>
        </w:trPr>
        <w:tc>
          <w:tcPr>
            <w:tcW w:w="2638" w:type="dxa"/>
          </w:tcPr>
          <w:p w14:paraId="47056361" w14:textId="77777777" w:rsidR="00E8348C" w:rsidRPr="00052115" w:rsidRDefault="00E8348C" w:rsidP="005D5EA7">
            <w:pPr>
              <w:spacing w:after="160" w:line="259" w:lineRule="auto"/>
              <w:rPr>
                <w:b/>
                <w:bCs/>
              </w:rPr>
            </w:pPr>
            <w:r w:rsidRPr="00052115">
              <w:rPr>
                <w:b/>
                <w:bCs/>
              </w:rPr>
              <w:t>Existing Evidence</w:t>
            </w:r>
          </w:p>
        </w:tc>
        <w:tc>
          <w:tcPr>
            <w:tcW w:w="6832" w:type="dxa"/>
          </w:tcPr>
          <w:p w14:paraId="34C25655" w14:textId="22757566" w:rsidR="00E8348C" w:rsidRPr="008A7C90" w:rsidRDefault="5E720E6A" w:rsidP="00E8348C">
            <w:r>
              <w:t>The relative</w:t>
            </w:r>
            <w:r w:rsidR="48D37800">
              <w:t xml:space="preserve"> use of </w:t>
            </w:r>
            <w:r w:rsidR="64D8A4CE">
              <w:t xml:space="preserve">different </w:t>
            </w:r>
            <w:r w:rsidR="48D37800">
              <w:t xml:space="preserve">imaging modalities for patients with suspected coronary heart disease </w:t>
            </w:r>
            <w:r w:rsidR="73CF54FC">
              <w:t xml:space="preserve">is unknown, such as </w:t>
            </w:r>
            <w:r w:rsidR="48D37800">
              <w:t>: Myocardial Perfusion Imaging (MPI), coronary CT angiography (CCTA) and Stress Echo (SE)</w:t>
            </w:r>
            <w:r w:rsidR="0088139F">
              <w:t xml:space="preserve">.  </w:t>
            </w:r>
          </w:p>
        </w:tc>
      </w:tr>
      <w:tr w:rsidR="00E8348C" w:rsidRPr="008A7C90" w14:paraId="4653D493" w14:textId="77777777" w:rsidTr="47374192">
        <w:trPr>
          <w:trHeight w:val="262"/>
        </w:trPr>
        <w:tc>
          <w:tcPr>
            <w:tcW w:w="2638" w:type="dxa"/>
          </w:tcPr>
          <w:p w14:paraId="4E195C0B" w14:textId="77777777" w:rsidR="00E8348C" w:rsidRPr="00052115" w:rsidRDefault="00E8348C" w:rsidP="005D5EA7">
            <w:pPr>
              <w:spacing w:after="160" w:line="259" w:lineRule="auto"/>
              <w:rPr>
                <w:b/>
                <w:bCs/>
              </w:rPr>
            </w:pPr>
            <w:r w:rsidRPr="00052115">
              <w:rPr>
                <w:b/>
                <w:bCs/>
              </w:rPr>
              <w:t>Target Population</w:t>
            </w:r>
          </w:p>
        </w:tc>
        <w:tc>
          <w:tcPr>
            <w:tcW w:w="6832" w:type="dxa"/>
          </w:tcPr>
          <w:p w14:paraId="3DECF3DA" w14:textId="6BB2C126" w:rsidR="00E8348C" w:rsidRPr="008A7C90" w:rsidRDefault="00426C21" w:rsidP="00E8348C">
            <w:r>
              <w:t>KPNC members with suspected coronary heart disease.</w:t>
            </w:r>
          </w:p>
        </w:tc>
      </w:tr>
      <w:tr w:rsidR="00E8348C" w:rsidRPr="008A7C90" w14:paraId="3C9DF6E4" w14:textId="77777777" w:rsidTr="47374192">
        <w:trPr>
          <w:trHeight w:val="276"/>
        </w:trPr>
        <w:tc>
          <w:tcPr>
            <w:tcW w:w="2638" w:type="dxa"/>
          </w:tcPr>
          <w:p w14:paraId="190EF833" w14:textId="77777777" w:rsidR="00E8348C" w:rsidRPr="00052115" w:rsidRDefault="00E8348C" w:rsidP="005D5EA7">
            <w:pPr>
              <w:spacing w:after="160" w:line="259" w:lineRule="auto"/>
              <w:rPr>
                <w:b/>
                <w:bCs/>
              </w:rPr>
            </w:pPr>
            <w:r w:rsidRPr="00052115">
              <w:rPr>
                <w:b/>
                <w:bCs/>
              </w:rPr>
              <w:t>Intervention or Exposure</w:t>
            </w:r>
          </w:p>
        </w:tc>
        <w:tc>
          <w:tcPr>
            <w:tcW w:w="6832" w:type="dxa"/>
          </w:tcPr>
          <w:p w14:paraId="6E548C79" w14:textId="62418BE0" w:rsidR="00E8348C" w:rsidRPr="008A7C90" w:rsidRDefault="00276375" w:rsidP="00E8348C">
            <w:r>
              <w:t xml:space="preserve">Use of different tests </w:t>
            </w:r>
            <w:r w:rsidR="00426C21">
              <w:t xml:space="preserve">captured by </w:t>
            </w:r>
            <w:r w:rsidR="0088139F">
              <w:t>a new</w:t>
            </w:r>
            <w:r w:rsidR="00426C21">
              <w:t xml:space="preserve"> KPNC CT</w:t>
            </w:r>
            <w:r>
              <w:t xml:space="preserve"> angiography</w:t>
            </w:r>
            <w:r w:rsidR="00426C21">
              <w:t xml:space="preserve"> </w:t>
            </w:r>
            <w:r>
              <w:t>r</w:t>
            </w:r>
            <w:r w:rsidR="00426C21">
              <w:t xml:space="preserve">eporting </w:t>
            </w:r>
            <w:r>
              <w:t>p</w:t>
            </w:r>
            <w:r w:rsidR="00426C21">
              <w:t>latform.</w:t>
            </w:r>
          </w:p>
        </w:tc>
      </w:tr>
      <w:tr w:rsidR="00E8348C" w:rsidRPr="008A7C90" w14:paraId="7840AA83" w14:textId="77777777" w:rsidTr="47374192">
        <w:trPr>
          <w:trHeight w:val="1952"/>
        </w:trPr>
        <w:tc>
          <w:tcPr>
            <w:tcW w:w="2638" w:type="dxa"/>
          </w:tcPr>
          <w:p w14:paraId="13156944" w14:textId="77777777" w:rsidR="00E8348C" w:rsidRPr="00052115" w:rsidRDefault="00E8348C" w:rsidP="005D5EA7">
            <w:pPr>
              <w:spacing w:after="160" w:line="259" w:lineRule="auto"/>
              <w:rPr>
                <w:b/>
                <w:bCs/>
              </w:rPr>
            </w:pPr>
            <w:r w:rsidRPr="00052115">
              <w:rPr>
                <w:b/>
                <w:bCs/>
              </w:rPr>
              <w:t>Outcomes/Key Findings</w:t>
            </w:r>
          </w:p>
        </w:tc>
        <w:tc>
          <w:tcPr>
            <w:tcW w:w="6832" w:type="dxa"/>
          </w:tcPr>
          <w:p w14:paraId="3774006A" w14:textId="598250EC" w:rsidR="00E8348C" w:rsidRPr="008A7C90" w:rsidRDefault="00426C21" w:rsidP="00E8348C">
            <w:r w:rsidRPr="00052115">
              <w:rPr>
                <w:b/>
                <w:bCs/>
              </w:rPr>
              <w:t xml:space="preserve">KPNC patients were more likely to receive an MPI than stress echo or coronary CCTA, resulting in </w:t>
            </w:r>
            <w:r w:rsidR="003666B6">
              <w:rPr>
                <w:b/>
                <w:bCs/>
              </w:rPr>
              <w:t xml:space="preserve">potentially increased </w:t>
            </w:r>
            <w:r w:rsidRPr="00052115">
              <w:rPr>
                <w:b/>
                <w:bCs/>
              </w:rPr>
              <w:t>costs</w:t>
            </w:r>
            <w:r w:rsidR="00E568E5">
              <w:rPr>
                <w:b/>
                <w:bCs/>
              </w:rPr>
              <w:t>,</w:t>
            </w:r>
            <w:r w:rsidRPr="00052115">
              <w:rPr>
                <w:b/>
                <w:bCs/>
              </w:rPr>
              <w:t xml:space="preserve"> since MPIs </w:t>
            </w:r>
            <w:r w:rsidR="00FA5B2F">
              <w:rPr>
                <w:b/>
                <w:bCs/>
              </w:rPr>
              <w:t xml:space="preserve">do not have </w:t>
            </w:r>
            <w:r w:rsidRPr="00052115">
              <w:rPr>
                <w:b/>
                <w:bCs/>
              </w:rPr>
              <w:t>clear</w:t>
            </w:r>
            <w:r w:rsidR="00FA5B2F">
              <w:rPr>
                <w:b/>
                <w:bCs/>
              </w:rPr>
              <w:t xml:space="preserve"> diagnostic</w:t>
            </w:r>
            <w:r w:rsidRPr="00052115">
              <w:rPr>
                <w:b/>
                <w:bCs/>
              </w:rPr>
              <w:t xml:space="preserve"> advantages over other modalities</w:t>
            </w:r>
            <w:r>
              <w:t xml:space="preserve">. Survey results of KPNC regional chiefs and assistant chiefs of cardiology identified the main barrier for obtaining a CCTA was limited availability. The KPNC CTA Reporting Platform successfully provided standardized </w:t>
            </w:r>
            <w:r w:rsidRPr="0082541C">
              <w:t>and</w:t>
            </w:r>
            <w:r>
              <w:t xml:space="preserve"> c</w:t>
            </w:r>
            <w:r w:rsidRPr="0082541C">
              <w:t>omprehensive text reports</w:t>
            </w:r>
            <w:r>
              <w:t xml:space="preserve"> to calculate patient risks and provide testing recommendations</w:t>
            </w:r>
            <w:r w:rsidRPr="0082541C">
              <w:t>.</w:t>
            </w:r>
            <w:r>
              <w:t xml:space="preserve"> </w:t>
            </w:r>
          </w:p>
        </w:tc>
      </w:tr>
      <w:tr w:rsidR="00E8348C" w:rsidRPr="008A7C90" w14:paraId="1AFEE115" w14:textId="77777777" w:rsidTr="47374192">
        <w:trPr>
          <w:trHeight w:val="816"/>
        </w:trPr>
        <w:tc>
          <w:tcPr>
            <w:tcW w:w="2638" w:type="dxa"/>
          </w:tcPr>
          <w:p w14:paraId="63DA52C8" w14:textId="77777777" w:rsidR="00E8348C" w:rsidRPr="00052115" w:rsidRDefault="00E8348C" w:rsidP="005D5EA7">
            <w:pPr>
              <w:spacing w:after="160" w:line="259" w:lineRule="auto"/>
              <w:rPr>
                <w:b/>
                <w:bCs/>
              </w:rPr>
            </w:pPr>
            <w:r w:rsidRPr="00052115">
              <w:rPr>
                <w:b/>
                <w:bCs/>
              </w:rPr>
              <w:t>Resulting Action/Change</w:t>
            </w:r>
          </w:p>
        </w:tc>
        <w:tc>
          <w:tcPr>
            <w:tcW w:w="6832" w:type="dxa"/>
          </w:tcPr>
          <w:p w14:paraId="49A6B1C6" w14:textId="044F1109" w:rsidR="00E8348C" w:rsidRPr="008A7C90" w:rsidRDefault="00426C21" w:rsidP="00E8348C">
            <w:r w:rsidRPr="00052115">
              <w:rPr>
                <w:b/>
                <w:bCs/>
              </w:rPr>
              <w:t xml:space="preserve">The study informed the KPNC </w:t>
            </w:r>
            <w:r w:rsidR="00052115">
              <w:rPr>
                <w:b/>
                <w:bCs/>
              </w:rPr>
              <w:t>Coronary CT Angiography</w:t>
            </w:r>
            <w:r w:rsidRPr="00052115">
              <w:rPr>
                <w:b/>
                <w:bCs/>
              </w:rPr>
              <w:t xml:space="preserve"> Reporting Platform, which launched region-wide December 2019</w:t>
            </w:r>
            <w:r w:rsidR="00052115">
              <w:rPr>
                <w:b/>
                <w:bCs/>
              </w:rPr>
              <w:t>, to guide broader appropriate use of thi</w:t>
            </w:r>
            <w:r w:rsidR="00052115" w:rsidRPr="00052115">
              <w:rPr>
                <w:b/>
                <w:bCs/>
              </w:rPr>
              <w:t>s non-invasive method</w:t>
            </w:r>
            <w:r w:rsidRPr="00052115">
              <w:rPr>
                <w:b/>
                <w:bCs/>
              </w:rPr>
              <w:t xml:space="preserve">. The platform was customized to KPNC-specific needs and automatically calculates CAD-RADS and MESA Risk scores to provide guidelines consistent with national recommendations.  </w:t>
            </w:r>
          </w:p>
        </w:tc>
      </w:tr>
      <w:tr w:rsidR="00BA5C99" w:rsidRPr="008A7C90" w14:paraId="150112EA" w14:textId="77777777" w:rsidTr="47374192">
        <w:trPr>
          <w:trHeight w:val="552"/>
        </w:trPr>
        <w:tc>
          <w:tcPr>
            <w:tcW w:w="2638" w:type="dxa"/>
          </w:tcPr>
          <w:p w14:paraId="53E8C639" w14:textId="7A96C3FA" w:rsidR="00BA5C99" w:rsidRPr="00052115" w:rsidRDefault="00BA5C99" w:rsidP="005D5EA7">
            <w:pPr>
              <w:rPr>
                <w:b/>
                <w:bCs/>
              </w:rPr>
            </w:pPr>
            <w:r>
              <w:rPr>
                <w:b/>
                <w:bCs/>
              </w:rPr>
              <w:t>Additional recommendations</w:t>
            </w:r>
          </w:p>
        </w:tc>
        <w:tc>
          <w:tcPr>
            <w:tcW w:w="6832" w:type="dxa"/>
          </w:tcPr>
          <w:p w14:paraId="240954A5" w14:textId="65B4B0E3" w:rsidR="00BA5C99" w:rsidRDefault="00BA5C99" w:rsidP="00426C21">
            <w:r>
              <w:t xml:space="preserve">The </w:t>
            </w:r>
            <w:r w:rsidR="00257431">
              <w:t xml:space="preserve">study provides </w:t>
            </w:r>
            <w:r>
              <w:t xml:space="preserve">baseline information to evaluate </w:t>
            </w:r>
            <w:r w:rsidR="005D7C5A">
              <w:t>future</w:t>
            </w:r>
            <w:r>
              <w:t xml:space="preserve"> impact of implementing this risk stratification and guidelines.</w:t>
            </w:r>
            <w:r w:rsidR="00027C07">
              <w:t xml:space="preserve">  Dissemination of this information broadly to relevant clinicians can increase use of this technology and the risk stratification tools.</w:t>
            </w:r>
            <w:bookmarkStart w:id="1" w:name="_GoBack"/>
            <w:bookmarkEnd w:id="1"/>
          </w:p>
        </w:tc>
      </w:tr>
      <w:tr w:rsidR="00E8348C" w:rsidRPr="008A7C90" w14:paraId="5C20182D" w14:textId="77777777" w:rsidTr="47374192">
        <w:trPr>
          <w:trHeight w:val="552"/>
        </w:trPr>
        <w:tc>
          <w:tcPr>
            <w:tcW w:w="2638" w:type="dxa"/>
          </w:tcPr>
          <w:p w14:paraId="3F0DA88A" w14:textId="77777777" w:rsidR="00E8348C" w:rsidRPr="00052115" w:rsidRDefault="00E8348C" w:rsidP="005D5EA7">
            <w:pPr>
              <w:spacing w:after="160" w:line="259" w:lineRule="auto"/>
              <w:rPr>
                <w:b/>
                <w:bCs/>
              </w:rPr>
            </w:pPr>
            <w:r w:rsidRPr="00052115">
              <w:rPr>
                <w:b/>
                <w:bCs/>
              </w:rPr>
              <w:t>Implementation Tools</w:t>
            </w:r>
            <w:r w:rsidRPr="00052115">
              <w:rPr>
                <w:b/>
                <w:bCs/>
              </w:rPr>
              <w:tab/>
            </w:r>
          </w:p>
        </w:tc>
        <w:tc>
          <w:tcPr>
            <w:tcW w:w="6832" w:type="dxa"/>
          </w:tcPr>
          <w:p w14:paraId="0A077BAB" w14:textId="7A918CCF" w:rsidR="00E8348C" w:rsidRPr="008A7C90" w:rsidRDefault="00426C21" w:rsidP="00426C21">
            <w:r>
              <w:t>KPNC CTA Reporting Platform.</w:t>
            </w:r>
          </w:p>
        </w:tc>
      </w:tr>
      <w:tr w:rsidR="00E8348C" w:rsidRPr="008A7C90" w14:paraId="2ACA0AFD" w14:textId="77777777" w:rsidTr="47374192">
        <w:trPr>
          <w:trHeight w:val="552"/>
        </w:trPr>
        <w:tc>
          <w:tcPr>
            <w:tcW w:w="2638" w:type="dxa"/>
          </w:tcPr>
          <w:p w14:paraId="564C5402" w14:textId="77777777" w:rsidR="00E8348C" w:rsidRPr="00052115" w:rsidRDefault="00E8348C" w:rsidP="005D5EA7">
            <w:pPr>
              <w:spacing w:after="160" w:line="259" w:lineRule="auto"/>
              <w:rPr>
                <w:b/>
                <w:bCs/>
              </w:rPr>
            </w:pPr>
            <w:r w:rsidRPr="00052115">
              <w:rPr>
                <w:b/>
                <w:bCs/>
              </w:rPr>
              <w:t>Follow-Up Implementation Measurement</w:t>
            </w:r>
          </w:p>
        </w:tc>
        <w:tc>
          <w:tcPr>
            <w:tcW w:w="6832" w:type="dxa"/>
          </w:tcPr>
          <w:p w14:paraId="493FAC83" w14:textId="03BB29AE" w:rsidR="00E8348C" w:rsidRPr="008A7C90" w:rsidRDefault="00426C21" w:rsidP="00E8348C">
            <w:r>
              <w:t>MPI, CCTA or SE test utilization.</w:t>
            </w:r>
          </w:p>
        </w:tc>
      </w:tr>
      <w:tr w:rsidR="00E8348C" w:rsidRPr="008A7C90" w14:paraId="088024D0" w14:textId="77777777" w:rsidTr="47374192">
        <w:trPr>
          <w:trHeight w:val="538"/>
        </w:trPr>
        <w:tc>
          <w:tcPr>
            <w:tcW w:w="2638" w:type="dxa"/>
          </w:tcPr>
          <w:p w14:paraId="6FE7C24E" w14:textId="167543DB" w:rsidR="00E8348C" w:rsidRPr="00052115" w:rsidRDefault="00E8348C" w:rsidP="00E8348C">
            <w:pPr>
              <w:rPr>
                <w:b/>
                <w:bCs/>
              </w:rPr>
            </w:pPr>
            <w:r w:rsidRPr="00052115">
              <w:rPr>
                <w:b/>
                <w:bCs/>
              </w:rPr>
              <w:t>Reference(s) [Key Figure if applicable]</w:t>
            </w:r>
          </w:p>
          <w:p w14:paraId="241446E1" w14:textId="5EA15FDE" w:rsidR="00E8348C" w:rsidRPr="00052115" w:rsidRDefault="00E8348C" w:rsidP="005D5EA7">
            <w:pPr>
              <w:spacing w:after="160" w:line="259" w:lineRule="auto"/>
              <w:rPr>
                <w:b/>
                <w:bCs/>
              </w:rPr>
            </w:pPr>
          </w:p>
        </w:tc>
        <w:tc>
          <w:tcPr>
            <w:tcW w:w="6832" w:type="dxa"/>
          </w:tcPr>
          <w:p w14:paraId="69E4C5AB" w14:textId="604034CD" w:rsidR="00E8348C" w:rsidRPr="008A7C90" w:rsidRDefault="00426C21" w:rsidP="00E8348C">
            <w:r>
              <w:t>Internal Report</w:t>
            </w:r>
          </w:p>
        </w:tc>
      </w:tr>
      <w:bookmarkEnd w:id="0"/>
    </w:tbl>
    <w:p w14:paraId="2168FB69" w14:textId="77777777" w:rsidR="006721AA" w:rsidRDefault="006721AA" w:rsidP="00746FF7"/>
    <w:sectPr w:rsidR="006721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AB24A" w14:textId="77777777" w:rsidR="00D856BB" w:rsidRDefault="00D856BB" w:rsidP="00746FF7">
      <w:pPr>
        <w:spacing w:after="0" w:line="240" w:lineRule="auto"/>
      </w:pPr>
      <w:r>
        <w:separator/>
      </w:r>
    </w:p>
  </w:endnote>
  <w:endnote w:type="continuationSeparator" w:id="0">
    <w:p w14:paraId="55DFE599" w14:textId="77777777" w:rsidR="00D856BB" w:rsidRDefault="00D856BB" w:rsidP="0074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32A0" w14:textId="77777777" w:rsidR="00D856BB" w:rsidRDefault="00D856BB" w:rsidP="00746FF7">
      <w:pPr>
        <w:spacing w:after="0" w:line="240" w:lineRule="auto"/>
      </w:pPr>
      <w:r>
        <w:separator/>
      </w:r>
    </w:p>
  </w:footnote>
  <w:footnote w:type="continuationSeparator" w:id="0">
    <w:p w14:paraId="754BF75C" w14:textId="77777777" w:rsidR="00D856BB" w:rsidRDefault="00D856BB" w:rsidP="0074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1539" w14:textId="4CC41EDB" w:rsidR="00746FF7" w:rsidRDefault="00746FF7">
    <w:pPr>
      <w:pStyle w:val="Header"/>
    </w:pPr>
    <w:r>
      <w:t>Delivery Science Research Grants (DSRG)</w:t>
    </w:r>
  </w:p>
  <w:p w14:paraId="6249841E" w14:textId="77777777" w:rsidR="00746FF7" w:rsidRDefault="00746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F7"/>
    <w:rsid w:val="00027C07"/>
    <w:rsid w:val="00052115"/>
    <w:rsid w:val="00053C62"/>
    <w:rsid w:val="00257431"/>
    <w:rsid w:val="00276375"/>
    <w:rsid w:val="003666B6"/>
    <w:rsid w:val="00426C21"/>
    <w:rsid w:val="004657E7"/>
    <w:rsid w:val="005D7C5A"/>
    <w:rsid w:val="006721AA"/>
    <w:rsid w:val="00746FF7"/>
    <w:rsid w:val="00855FDB"/>
    <w:rsid w:val="0088139F"/>
    <w:rsid w:val="00897D81"/>
    <w:rsid w:val="008D7A92"/>
    <w:rsid w:val="00AB6D46"/>
    <w:rsid w:val="00BA5C99"/>
    <w:rsid w:val="00D60D0B"/>
    <w:rsid w:val="00D856BB"/>
    <w:rsid w:val="00E13703"/>
    <w:rsid w:val="00E33E5E"/>
    <w:rsid w:val="00E416F1"/>
    <w:rsid w:val="00E568E5"/>
    <w:rsid w:val="00E8348C"/>
    <w:rsid w:val="00F14CD8"/>
    <w:rsid w:val="00F15D26"/>
    <w:rsid w:val="00FA5B2F"/>
    <w:rsid w:val="13CF9486"/>
    <w:rsid w:val="14B7EB80"/>
    <w:rsid w:val="20CB45B2"/>
    <w:rsid w:val="291A1F96"/>
    <w:rsid w:val="2F61D9DC"/>
    <w:rsid w:val="313FC6C3"/>
    <w:rsid w:val="36EF21F5"/>
    <w:rsid w:val="3947F4A5"/>
    <w:rsid w:val="3B61CF69"/>
    <w:rsid w:val="3C3DF201"/>
    <w:rsid w:val="47374192"/>
    <w:rsid w:val="48D37800"/>
    <w:rsid w:val="54C6F13E"/>
    <w:rsid w:val="5E720E6A"/>
    <w:rsid w:val="64D8A4CE"/>
    <w:rsid w:val="73CF54FC"/>
    <w:rsid w:val="7CC89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909D"/>
  <w15:chartTrackingRefBased/>
  <w15:docId w15:val="{D778A3EF-757F-4382-85DD-645FB9DE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6FF7"/>
  </w:style>
  <w:style w:type="paragraph" w:styleId="Heading1">
    <w:name w:val="heading 1"/>
    <w:basedOn w:val="Normal"/>
    <w:next w:val="Normal"/>
    <w:link w:val="Heading1Char"/>
    <w:uiPriority w:val="9"/>
    <w:qFormat/>
    <w:rsid w:val="00E834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F7"/>
  </w:style>
  <w:style w:type="paragraph" w:styleId="Footer">
    <w:name w:val="footer"/>
    <w:basedOn w:val="Normal"/>
    <w:link w:val="FooterChar"/>
    <w:uiPriority w:val="99"/>
    <w:unhideWhenUsed/>
    <w:rsid w:val="00746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F7"/>
  </w:style>
  <w:style w:type="character" w:styleId="Hyperlink">
    <w:name w:val="Hyperlink"/>
    <w:basedOn w:val="DefaultParagraphFont"/>
    <w:uiPriority w:val="99"/>
    <w:unhideWhenUsed/>
    <w:rsid w:val="006721AA"/>
    <w:rPr>
      <w:color w:val="0563C1" w:themeColor="hyperlink"/>
      <w:u w:val="single"/>
    </w:rPr>
  </w:style>
  <w:style w:type="character" w:styleId="FollowedHyperlink">
    <w:name w:val="FollowedHyperlink"/>
    <w:basedOn w:val="DefaultParagraphFont"/>
    <w:uiPriority w:val="99"/>
    <w:semiHidden/>
    <w:unhideWhenUsed/>
    <w:rsid w:val="006721AA"/>
    <w:rPr>
      <w:color w:val="954F72" w:themeColor="followedHyperlink"/>
      <w:u w:val="single"/>
    </w:rPr>
  </w:style>
  <w:style w:type="character" w:styleId="UnresolvedMention">
    <w:name w:val="Unresolved Mention"/>
    <w:basedOn w:val="DefaultParagraphFont"/>
    <w:uiPriority w:val="99"/>
    <w:semiHidden/>
    <w:unhideWhenUsed/>
    <w:rsid w:val="006721AA"/>
    <w:rPr>
      <w:color w:val="605E5C"/>
      <w:shd w:val="clear" w:color="auto" w:fill="E1DFDD"/>
    </w:rPr>
  </w:style>
  <w:style w:type="character" w:styleId="CommentReference">
    <w:name w:val="annotation reference"/>
    <w:basedOn w:val="DefaultParagraphFont"/>
    <w:uiPriority w:val="99"/>
    <w:semiHidden/>
    <w:unhideWhenUsed/>
    <w:rsid w:val="004657E7"/>
    <w:rPr>
      <w:sz w:val="16"/>
      <w:szCs w:val="16"/>
    </w:rPr>
  </w:style>
  <w:style w:type="paragraph" w:styleId="CommentText">
    <w:name w:val="annotation text"/>
    <w:basedOn w:val="Normal"/>
    <w:link w:val="CommentTextChar"/>
    <w:uiPriority w:val="99"/>
    <w:semiHidden/>
    <w:unhideWhenUsed/>
    <w:rsid w:val="004657E7"/>
    <w:pPr>
      <w:spacing w:line="240" w:lineRule="auto"/>
    </w:pPr>
    <w:rPr>
      <w:sz w:val="20"/>
      <w:szCs w:val="20"/>
    </w:rPr>
  </w:style>
  <w:style w:type="character" w:customStyle="1" w:styleId="CommentTextChar">
    <w:name w:val="Comment Text Char"/>
    <w:basedOn w:val="DefaultParagraphFont"/>
    <w:link w:val="CommentText"/>
    <w:uiPriority w:val="99"/>
    <w:semiHidden/>
    <w:rsid w:val="004657E7"/>
    <w:rPr>
      <w:sz w:val="20"/>
      <w:szCs w:val="20"/>
    </w:rPr>
  </w:style>
  <w:style w:type="paragraph" w:styleId="CommentSubject">
    <w:name w:val="annotation subject"/>
    <w:basedOn w:val="CommentText"/>
    <w:next w:val="CommentText"/>
    <w:link w:val="CommentSubjectChar"/>
    <w:uiPriority w:val="99"/>
    <w:semiHidden/>
    <w:unhideWhenUsed/>
    <w:rsid w:val="004657E7"/>
    <w:rPr>
      <w:b/>
      <w:bCs/>
    </w:rPr>
  </w:style>
  <w:style w:type="character" w:customStyle="1" w:styleId="CommentSubjectChar">
    <w:name w:val="Comment Subject Char"/>
    <w:basedOn w:val="CommentTextChar"/>
    <w:link w:val="CommentSubject"/>
    <w:uiPriority w:val="99"/>
    <w:semiHidden/>
    <w:rsid w:val="004657E7"/>
    <w:rPr>
      <w:b/>
      <w:bCs/>
      <w:sz w:val="20"/>
      <w:szCs w:val="20"/>
    </w:rPr>
  </w:style>
  <w:style w:type="paragraph" w:styleId="BalloonText">
    <w:name w:val="Balloon Text"/>
    <w:basedOn w:val="Normal"/>
    <w:link w:val="BalloonTextChar"/>
    <w:uiPriority w:val="99"/>
    <w:semiHidden/>
    <w:unhideWhenUsed/>
    <w:rsid w:val="00465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7E7"/>
    <w:rPr>
      <w:rFonts w:ascii="Segoe UI" w:hAnsi="Segoe UI" w:cs="Segoe UI"/>
      <w:sz w:val="18"/>
      <w:szCs w:val="18"/>
    </w:rPr>
  </w:style>
  <w:style w:type="table" w:styleId="TableGrid">
    <w:name w:val="Table Grid"/>
    <w:basedOn w:val="TableNormal"/>
    <w:uiPriority w:val="39"/>
    <w:rsid w:val="00E8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34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0A7B4C-9A48-4F7D-914F-9731B6EAA3C7}"/>
</file>

<file path=customXml/itemProps2.xml><?xml version="1.0" encoding="utf-8"?>
<ds:datastoreItem xmlns:ds="http://schemas.openxmlformats.org/officeDocument/2006/customXml" ds:itemID="{E667CA2F-70B4-4DC5-A8FA-71F2CF620496}"/>
</file>

<file path=customXml/itemProps3.xml><?xml version="1.0" encoding="utf-8"?>
<ds:datastoreItem xmlns:ds="http://schemas.openxmlformats.org/officeDocument/2006/customXml" ds:itemID="{F13AF365-DDB4-49FE-909C-918960225B6F}"/>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Douglas A Corley</cp:lastModifiedBy>
  <cp:revision>15</cp:revision>
  <dcterms:created xsi:type="dcterms:W3CDTF">2020-10-30T17:58:00Z</dcterms:created>
  <dcterms:modified xsi:type="dcterms:W3CDTF">2021-03-14T23:29:00Z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