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630E" w14:textId="77777777" w:rsidR="00F0516D" w:rsidRPr="00864AD6" w:rsidRDefault="00F0516D" w:rsidP="00F0516D">
      <w:pPr>
        <w:rPr>
          <w:rFonts w:eastAsiaTheme="minorEastAsia"/>
        </w:rPr>
      </w:pPr>
      <w:r w:rsidRPr="00864AD6">
        <w:rPr>
          <w:rFonts w:eastAsiaTheme="minorEastAsia"/>
        </w:rPr>
        <w:t>Delivery Science Grants Program</w:t>
      </w:r>
    </w:p>
    <w:p w14:paraId="7D76C285" w14:textId="068FEB4E" w:rsidR="00BA2786" w:rsidRPr="00DE2B8A" w:rsidRDefault="00864AD6" w:rsidP="00DE2B8A">
      <w:pPr>
        <w:rPr>
          <w:rFonts w:eastAsiaTheme="minorEastAsia"/>
        </w:rPr>
      </w:pPr>
      <w:r w:rsidRPr="003A0C68">
        <w:rPr>
          <w:rFonts w:ascii="Calibri" w:eastAsia="Calibri" w:hAnsi="Calibri" w:cs="Calibri"/>
          <w:color w:val="4472C4" w:themeColor="accent1"/>
          <w:sz w:val="24"/>
          <w:szCs w:val="24"/>
        </w:rPr>
        <w:t>Predicting Adverse Outcomes and Poorer Quality of Life After TAVR is Challenging in Real World Populations</w:t>
      </w:r>
      <w:r w:rsidR="00DE2B8A" w:rsidRPr="00DE2B8A">
        <w:rPr>
          <w:rFonts w:eastAsiaTheme="minorEastAsia"/>
        </w:rPr>
        <w:t xml:space="preserve"> </w:t>
      </w:r>
      <w:r w:rsidR="00DE2B8A">
        <w:rPr>
          <w:rFonts w:eastAsiaTheme="minorEastAsia"/>
        </w:rPr>
        <w:t xml:space="preserve">               </w:t>
      </w:r>
      <w:r w:rsidR="00DE2B8A" w:rsidRPr="622938B3">
        <w:rPr>
          <w:rFonts w:eastAsiaTheme="minorEastAsia"/>
        </w:rPr>
        <w:t>Alan S. Go, MD, Edward M. McNulty, MD, Jacob Mishell, MD; Samuel T. Savitz, PhD; Andrew Rassi, MD; Andrew P. Ambrosy, MD</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8E6D2C" w:rsidRPr="003A0C68" w14:paraId="307289BF" w14:textId="77777777" w:rsidTr="00C73A94">
        <w:trPr>
          <w:trHeight w:val="816"/>
        </w:trPr>
        <w:tc>
          <w:tcPr>
            <w:tcW w:w="1975" w:type="dxa"/>
          </w:tcPr>
          <w:p w14:paraId="2C7E2D09" w14:textId="77777777" w:rsidR="0048655A" w:rsidRPr="003A0C68" w:rsidRDefault="0048655A" w:rsidP="0048655A">
            <w:pPr>
              <w:spacing w:line="259" w:lineRule="auto"/>
              <w:rPr>
                <w:rFonts w:cstheme="minorHAnsi"/>
              </w:rPr>
            </w:pPr>
            <w:bookmarkStart w:id="0" w:name="_Hlk54105970"/>
            <w:r w:rsidRPr="003A0C68">
              <w:rPr>
                <w:rFonts w:cstheme="minorHAnsi"/>
              </w:rPr>
              <w:t>Challenge</w:t>
            </w:r>
          </w:p>
        </w:tc>
        <w:tc>
          <w:tcPr>
            <w:tcW w:w="8730" w:type="dxa"/>
          </w:tcPr>
          <w:p w14:paraId="7F9273D4" w14:textId="7504F850" w:rsidR="0048655A" w:rsidRPr="003A0C68" w:rsidRDefault="00A6382F" w:rsidP="0048655A">
            <w:pPr>
              <w:spacing w:line="259" w:lineRule="auto"/>
              <w:rPr>
                <w:rFonts w:cstheme="minorHAnsi"/>
                <w:b/>
                <w:bCs/>
              </w:rPr>
            </w:pPr>
            <w:r w:rsidRPr="003A0C68">
              <w:rPr>
                <w:rFonts w:cstheme="minorHAnsi"/>
              </w:rPr>
              <w:t xml:space="preserve">The current literature provides inadequate guidance regarding </w:t>
            </w:r>
            <w:r w:rsidRPr="003A0C68">
              <w:rPr>
                <w:rFonts w:cstheme="minorHAnsi"/>
                <w:b/>
                <w:bCs/>
              </w:rPr>
              <w:t>which subgroups of patients are the most or least likely to benefit from TAVR in terms of both clinical outcomes and quality of life,</w:t>
            </w:r>
            <w:r w:rsidRPr="003A0C68">
              <w:rPr>
                <w:rFonts w:cstheme="minorHAnsi"/>
              </w:rPr>
              <w:t xml:space="preserve"> especially given the moderate number of selected patients enrolled in the published RCTs.  Additional evidence-based guidance may enable physicians to provide a more realistic outlook for patients who are being considered for TAVR and support system-level efforts to provide targeted management and follow-up interventions to patients at high risk for adverse clinical and patient-centered outcomes after TAVR.</w:t>
            </w:r>
          </w:p>
        </w:tc>
      </w:tr>
      <w:tr w:rsidR="008E6D2C" w:rsidRPr="003A0C68" w14:paraId="67D435C8" w14:textId="77777777" w:rsidTr="00C73A94">
        <w:trPr>
          <w:trHeight w:val="1091"/>
        </w:trPr>
        <w:tc>
          <w:tcPr>
            <w:tcW w:w="1975" w:type="dxa"/>
          </w:tcPr>
          <w:p w14:paraId="351B366F" w14:textId="77777777" w:rsidR="0048655A" w:rsidRPr="003A0C68" w:rsidRDefault="0048655A" w:rsidP="0048655A">
            <w:pPr>
              <w:spacing w:line="259" w:lineRule="auto"/>
              <w:rPr>
                <w:rFonts w:cstheme="minorHAnsi"/>
              </w:rPr>
            </w:pPr>
            <w:r w:rsidRPr="003A0C68">
              <w:rPr>
                <w:rFonts w:cstheme="minorHAnsi"/>
              </w:rPr>
              <w:t>Existing Evidence</w:t>
            </w:r>
          </w:p>
        </w:tc>
        <w:tc>
          <w:tcPr>
            <w:tcW w:w="8730" w:type="dxa"/>
          </w:tcPr>
          <w:p w14:paraId="49B4AAFE" w14:textId="77777777" w:rsidR="00535289" w:rsidRPr="003A0C68" w:rsidRDefault="00535289" w:rsidP="00535289">
            <w:pPr>
              <w:rPr>
                <w:rFonts w:cstheme="minorHAnsi"/>
              </w:rPr>
            </w:pPr>
            <w:r w:rsidRPr="003A0C68">
              <w:rPr>
                <w:rFonts w:cstheme="minorHAnsi"/>
              </w:rPr>
              <w:t xml:space="preserve">TAVR is a </w:t>
            </w:r>
            <w:proofErr w:type="gramStart"/>
            <w:r w:rsidRPr="003A0C68">
              <w:rPr>
                <w:rFonts w:cstheme="minorHAnsi"/>
              </w:rPr>
              <w:t>minimally-invasive</w:t>
            </w:r>
            <w:proofErr w:type="gramEnd"/>
            <w:r w:rsidRPr="003A0C68">
              <w:rPr>
                <w:rFonts w:cstheme="minorHAnsi"/>
              </w:rPr>
              <w:t xml:space="preserve"> procedure to treat severe aortic valve stenosis. Before the introduction of TAVR, the standard treatment approach was to perform open heart surgical aortic valve replacement (SAVR) to remove the diseased valve and implant a replacement valve.</w:t>
            </w:r>
            <w:r w:rsidRPr="003A0C68" w:rsidDel="001310D3">
              <w:rPr>
                <w:rFonts w:cstheme="minorHAnsi"/>
              </w:rPr>
              <w:t xml:space="preserve"> </w:t>
            </w:r>
          </w:p>
          <w:p w14:paraId="3310A5AB" w14:textId="77777777" w:rsidR="00535289" w:rsidRPr="003A0C68" w:rsidRDefault="00535289" w:rsidP="00535289">
            <w:pPr>
              <w:rPr>
                <w:rFonts w:cstheme="minorHAnsi"/>
              </w:rPr>
            </w:pPr>
          </w:p>
          <w:p w14:paraId="70041630" w14:textId="20B07155" w:rsidR="0048655A" w:rsidRPr="003A0C68" w:rsidRDefault="00535289" w:rsidP="00535289">
            <w:pPr>
              <w:spacing w:line="259" w:lineRule="auto"/>
              <w:rPr>
                <w:rFonts w:cstheme="minorHAnsi"/>
              </w:rPr>
            </w:pPr>
            <w:r w:rsidRPr="003A0C68">
              <w:rPr>
                <w:rFonts w:cstheme="minorHAnsi"/>
              </w:rPr>
              <w:t xml:space="preserve">Due to the expanding indications for TAVR, there has been a dramatic increase nationally in both the number of sites performing TAVR and the number of TAVR procedures captured in </w:t>
            </w:r>
            <w:bookmarkStart w:id="1" w:name="_Hlk536172983"/>
            <w:r w:rsidRPr="003A0C68">
              <w:rPr>
                <w:rFonts w:cstheme="minorHAnsi"/>
              </w:rPr>
              <w:t xml:space="preserve">The Society of Thoracic Surgeons and American College of Cardiology Transcatheter Valve Therapy (STS/ACC TVT) </w:t>
            </w:r>
            <w:bookmarkEnd w:id="1"/>
            <w:r w:rsidRPr="003A0C68">
              <w:rPr>
                <w:rFonts w:cstheme="minorHAnsi"/>
              </w:rPr>
              <w:t>Registry; within KPNC, the annual number of procedures has grown rapidly from 49 in 2012 to 450 in 2018. While many patients who receive TAVR have favorable outcomes, a recent study found that nearly 38% of TAVR patients experienced unfavorable outcomes (i.e., death or persistent low quality of life) at 1-year following the procedure.</w:t>
            </w:r>
            <w:r w:rsidRPr="003A0C68">
              <w:rPr>
                <w:rFonts w:cstheme="minorHAnsi"/>
              </w:rPr>
              <w:fldChar w:fldCharType="begin">
                <w:fldData xml:space="preserve">PEVuZE5vdGU+PENpdGU+PEF1dGhvcj5Bcm5vbGQ8L0F1dGhvcj48WWVhcj4yMDE3PC9ZZWFyPjxS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</w:fldData>
              </w:fldChar>
            </w:r>
            <w:r w:rsidRPr="003A0C68">
              <w:rPr>
                <w:rFonts w:cstheme="minorHAnsi"/>
              </w:rPr>
              <w:instrText xml:space="preserve"> ADDIN EN.CITE </w:instrText>
            </w:r>
            <w:r w:rsidRPr="003A0C68">
              <w:rPr>
                <w:rFonts w:cstheme="minorHAnsi"/>
              </w:rPr>
              <w:fldChar w:fldCharType="begin">
                <w:fldData xml:space="preserve">PEVuZE5vdGU+PENpdGU+PEF1dGhvcj5Bcm5vbGQ8L0F1dGhvcj48WWVhcj4yMDE3PC9ZZWFyPjxS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</w:fldData>
              </w:fldChar>
            </w:r>
            <w:r w:rsidRPr="003A0C68">
              <w:rPr>
                <w:rFonts w:cstheme="minorHAnsi"/>
              </w:rPr>
              <w:instrText xml:space="preserve"> ADDIN EN.CITE.DATA </w:instrText>
            </w:r>
            <w:r w:rsidRPr="003A0C68">
              <w:rPr>
                <w:rFonts w:cstheme="minorHAnsi"/>
              </w:rPr>
            </w:r>
            <w:r w:rsidRPr="003A0C68">
              <w:rPr>
                <w:rFonts w:cstheme="minorHAnsi"/>
              </w:rPr>
              <w:fldChar w:fldCharType="end"/>
            </w:r>
            <w:r w:rsidRPr="003A0C68">
              <w:rPr>
                <w:rFonts w:cstheme="minorHAnsi"/>
              </w:rPr>
            </w:r>
            <w:r w:rsidRPr="003A0C68">
              <w:rPr>
                <w:rFonts w:cstheme="minorHAnsi"/>
              </w:rPr>
              <w:fldChar w:fldCharType="separate"/>
            </w:r>
            <w:r w:rsidRPr="003A0C68">
              <w:rPr>
                <w:rFonts w:cstheme="minorHAnsi"/>
                <w:noProof/>
                <w:vertAlign w:val="superscript"/>
              </w:rPr>
              <w:t>14</w:t>
            </w:r>
            <w:r w:rsidRPr="003A0C68">
              <w:rPr>
                <w:rFonts w:cstheme="minorHAnsi"/>
              </w:rPr>
              <w:fldChar w:fldCharType="end"/>
            </w:r>
            <w:r w:rsidRPr="003A0C68">
              <w:rPr>
                <w:rFonts w:cstheme="minorHAnsi"/>
              </w:rPr>
              <w:t xml:space="preserve">  </w:t>
            </w:r>
            <w:r w:rsidRPr="003A0C68">
              <w:rPr>
                <w:rStyle w:val="normaltextrun"/>
                <w:rFonts w:cstheme="minorHAnsi"/>
                <w:color w:val="000000" w:themeColor="text1"/>
                <w:position w:val="1"/>
              </w:rPr>
              <w:t>Questions  were raised with the KPNC Cardiac Outcomes Leadership Team and Structural Heart</w:t>
            </w:r>
          </w:p>
        </w:tc>
      </w:tr>
      <w:tr w:rsidR="008E6D2C" w:rsidRPr="003A0C68" w14:paraId="136E6453" w14:textId="77777777" w:rsidTr="00C73A94">
        <w:trPr>
          <w:trHeight w:val="262"/>
        </w:trPr>
        <w:tc>
          <w:tcPr>
            <w:tcW w:w="1975" w:type="dxa"/>
          </w:tcPr>
          <w:p w14:paraId="53202DB8" w14:textId="77777777" w:rsidR="0048655A" w:rsidRPr="003A0C68" w:rsidRDefault="0048655A" w:rsidP="0048655A">
            <w:pPr>
              <w:spacing w:line="259" w:lineRule="auto"/>
              <w:rPr>
                <w:rFonts w:cstheme="minorHAnsi"/>
              </w:rPr>
            </w:pPr>
            <w:r w:rsidRPr="003A0C68">
              <w:rPr>
                <w:rFonts w:cstheme="minorHAnsi"/>
              </w:rPr>
              <w:t>Target Population</w:t>
            </w:r>
          </w:p>
        </w:tc>
        <w:tc>
          <w:tcPr>
            <w:tcW w:w="8730" w:type="dxa"/>
          </w:tcPr>
          <w:p w14:paraId="1486D38C" w14:textId="6E3CBD51" w:rsidR="0048655A" w:rsidRPr="003A0C68" w:rsidRDefault="006519ED" w:rsidP="0048655A">
            <w:pPr>
              <w:spacing w:line="259" w:lineRule="auto"/>
              <w:rPr>
                <w:rFonts w:cstheme="minorHAnsi"/>
              </w:rPr>
            </w:pPr>
            <w:r w:rsidRPr="003A0C68">
              <w:rPr>
                <w:rFonts w:cstheme="minorHAnsi"/>
              </w:rPr>
              <w:t xml:space="preserve">KPNC members aged </w:t>
            </w:r>
            <w:r w:rsidRPr="003A0C68">
              <w:rPr>
                <w:rFonts w:eastAsia="Arial,Arial Unicode MS" w:cstheme="minorHAnsi"/>
                <w:color w:val="000000"/>
                <w:shd w:val="clear" w:color="auto" w:fill="FFFFFF"/>
              </w:rPr>
              <w:t xml:space="preserve">≥18 years who received TAVR between January 1, </w:t>
            </w:r>
            <w:proofErr w:type="gramStart"/>
            <w:r w:rsidRPr="003A0C68">
              <w:rPr>
                <w:rFonts w:eastAsia="Arial,Arial Unicode MS" w:cstheme="minorHAnsi"/>
                <w:color w:val="000000"/>
                <w:shd w:val="clear" w:color="auto" w:fill="FFFFFF"/>
              </w:rPr>
              <w:t>2013</w:t>
            </w:r>
            <w:proofErr w:type="gramEnd"/>
            <w:r w:rsidRPr="003A0C68">
              <w:rPr>
                <w:rFonts w:eastAsia="Arial,Arial Unicode MS" w:cstheme="minorHAnsi"/>
                <w:color w:val="000000"/>
                <w:shd w:val="clear" w:color="auto" w:fill="FFFFFF"/>
              </w:rPr>
              <w:t xml:space="preserve"> and December 31, 2019.</w:t>
            </w:r>
          </w:p>
        </w:tc>
      </w:tr>
      <w:tr w:rsidR="008E6D2C" w:rsidRPr="003A0C68" w14:paraId="5B80BED5" w14:textId="77777777" w:rsidTr="00C73A94">
        <w:trPr>
          <w:trHeight w:val="276"/>
        </w:trPr>
        <w:tc>
          <w:tcPr>
            <w:tcW w:w="1975" w:type="dxa"/>
          </w:tcPr>
          <w:p w14:paraId="0D0B7C0D" w14:textId="77777777" w:rsidR="0048655A" w:rsidRPr="003A0C68" w:rsidRDefault="0048655A" w:rsidP="0048655A">
            <w:pPr>
              <w:spacing w:line="259" w:lineRule="auto"/>
              <w:rPr>
                <w:rFonts w:cstheme="minorHAnsi"/>
              </w:rPr>
            </w:pPr>
            <w:r w:rsidRPr="003A0C68">
              <w:rPr>
                <w:rFonts w:cstheme="minorHAnsi"/>
              </w:rPr>
              <w:t>Intervention or Exposure</w:t>
            </w:r>
          </w:p>
        </w:tc>
        <w:tc>
          <w:tcPr>
            <w:tcW w:w="8730" w:type="dxa"/>
          </w:tcPr>
          <w:p w14:paraId="0CA2C589" w14:textId="34D5E14E" w:rsidR="0048655A" w:rsidRPr="003A0C68" w:rsidRDefault="00E75BE5" w:rsidP="0048655A">
            <w:pPr>
              <w:spacing w:line="259" w:lineRule="auto"/>
              <w:rPr>
                <w:rFonts w:cstheme="minorHAnsi"/>
              </w:rPr>
            </w:pPr>
            <w:r w:rsidRPr="003A0C68">
              <w:rPr>
                <w:rFonts w:cstheme="minorHAnsi"/>
              </w:rPr>
              <w:t>Severity of risk for negative outcomes associated with TAVR defined by Society of Thoracic Surgeons (STS) Adult Cardiac Surgery Database risk score at time of TAVR</w:t>
            </w:r>
          </w:p>
        </w:tc>
      </w:tr>
      <w:tr w:rsidR="008E6D2C" w:rsidRPr="003A0C68" w14:paraId="13978FD3" w14:textId="77777777" w:rsidTr="00590307">
        <w:trPr>
          <w:trHeight w:val="350"/>
        </w:trPr>
        <w:tc>
          <w:tcPr>
            <w:tcW w:w="1975" w:type="dxa"/>
          </w:tcPr>
          <w:p w14:paraId="7525D5B4" w14:textId="77777777" w:rsidR="0048655A" w:rsidRPr="003A0C68" w:rsidRDefault="0048655A" w:rsidP="0048655A">
            <w:pPr>
              <w:spacing w:line="259" w:lineRule="auto"/>
              <w:rPr>
                <w:rFonts w:cstheme="minorHAnsi"/>
                <w:b/>
                <w:bCs/>
              </w:rPr>
            </w:pPr>
            <w:r w:rsidRPr="003A0C68">
              <w:rPr>
                <w:rFonts w:cstheme="minorHAnsi"/>
                <w:b/>
                <w:bCs/>
              </w:rPr>
              <w:t>Outcomes/Key Findings</w:t>
            </w:r>
          </w:p>
        </w:tc>
        <w:tc>
          <w:tcPr>
            <w:tcW w:w="8730" w:type="dxa"/>
          </w:tcPr>
          <w:p w14:paraId="7423A803" w14:textId="77777777" w:rsidR="00590307" w:rsidRPr="003A0C68" w:rsidRDefault="00590307" w:rsidP="00590307">
            <w:pPr>
              <w:pStyle w:val="paragraph"/>
              <w:numPr>
                <w:ilvl w:val="0"/>
                <w:numId w:val="4"/>
              </w:numPr>
              <w:spacing w:before="0" w:beforeAutospacing="0" w:after="0" w:afterAutospacing="0"/>
              <w:ind w:left="331"/>
              <w:textAlignment w:val="baseline"/>
              <w:rPr>
                <w:rStyle w:val="normaltextrun"/>
                <w:rFonts w:asciiTheme="minorHAnsi" w:hAnsiTheme="minorHAnsi" w:cstheme="minorHAnsi"/>
                <w:b/>
                <w:bCs/>
                <w:sz w:val="22"/>
                <w:szCs w:val="22"/>
              </w:rPr>
            </w:pPr>
            <w:r w:rsidRPr="003A0C68">
              <w:rPr>
                <w:rStyle w:val="normaltextrun"/>
                <w:rFonts w:asciiTheme="minorHAnsi" w:hAnsiTheme="minorHAnsi" w:cstheme="minorHAnsi"/>
                <w:b/>
                <w:bCs/>
                <w:sz w:val="22"/>
                <w:szCs w:val="22"/>
              </w:rPr>
              <w:t>STS risk score was not independently predictive of death or favorable quality of life at 30 or 365 days.</w:t>
            </w:r>
          </w:p>
          <w:p w14:paraId="16F17D65" w14:textId="77777777" w:rsidR="00590307" w:rsidRPr="003A0C68" w:rsidRDefault="00590307" w:rsidP="00590307">
            <w:pPr>
              <w:pStyle w:val="paragraph"/>
              <w:numPr>
                <w:ilvl w:val="0"/>
                <w:numId w:val="4"/>
              </w:numPr>
              <w:spacing w:before="0" w:beforeAutospacing="0" w:after="0" w:afterAutospacing="0"/>
              <w:ind w:left="331"/>
              <w:textAlignment w:val="baseline"/>
              <w:rPr>
                <w:rStyle w:val="normaltextrun"/>
                <w:rFonts w:asciiTheme="minorHAnsi" w:hAnsiTheme="minorHAnsi" w:cstheme="minorHAnsi"/>
                <w:b/>
                <w:bCs/>
                <w:sz w:val="22"/>
                <w:szCs w:val="22"/>
              </w:rPr>
            </w:pPr>
            <w:r w:rsidRPr="003A0C68">
              <w:rPr>
                <w:rStyle w:val="normaltextrun"/>
                <w:rFonts w:asciiTheme="minorHAnsi" w:hAnsiTheme="minorHAnsi" w:cstheme="minorHAnsi"/>
                <w:b/>
                <w:bCs/>
                <w:color w:val="000000" w:themeColor="text1"/>
                <w:position w:val="1"/>
                <w:sz w:val="22"/>
                <w:szCs w:val="22"/>
              </w:rPr>
              <w:t xml:space="preserve">STS risk score was weakly predictive of hospitalization at 30 days and ED visits at 365 days, as well as total utilization over all </w:t>
            </w:r>
            <w:proofErr w:type="gramStart"/>
            <w:r w:rsidRPr="003A0C68">
              <w:rPr>
                <w:rStyle w:val="normaltextrun"/>
                <w:rFonts w:asciiTheme="minorHAnsi" w:hAnsiTheme="minorHAnsi" w:cstheme="minorHAnsi"/>
                <w:b/>
                <w:bCs/>
                <w:color w:val="000000" w:themeColor="text1"/>
                <w:position w:val="1"/>
                <w:sz w:val="22"/>
                <w:szCs w:val="22"/>
              </w:rPr>
              <w:t>follow-up</w:t>
            </w:r>
            <w:proofErr w:type="gramEnd"/>
            <w:r w:rsidRPr="003A0C68">
              <w:rPr>
                <w:rStyle w:val="normaltextrun"/>
                <w:rFonts w:asciiTheme="minorHAnsi" w:hAnsiTheme="minorHAnsi" w:cstheme="minorHAnsi"/>
                <w:b/>
                <w:bCs/>
                <w:color w:val="000000" w:themeColor="text1"/>
                <w:position w:val="1"/>
                <w:sz w:val="22"/>
                <w:szCs w:val="22"/>
              </w:rPr>
              <w:t xml:space="preserve">. </w:t>
            </w:r>
          </w:p>
          <w:p w14:paraId="49643A5F" w14:textId="77777777" w:rsidR="00590307" w:rsidRPr="003A0C68" w:rsidRDefault="00590307" w:rsidP="00590307">
            <w:pPr>
              <w:pStyle w:val="paragraph"/>
              <w:numPr>
                <w:ilvl w:val="0"/>
                <w:numId w:val="4"/>
              </w:numPr>
              <w:spacing w:before="0" w:beforeAutospacing="0" w:after="0" w:afterAutospacing="0"/>
              <w:ind w:left="331"/>
              <w:textAlignment w:val="baseline"/>
              <w:rPr>
                <w:rFonts w:asciiTheme="minorHAnsi" w:hAnsiTheme="minorHAnsi" w:cstheme="minorHAnsi"/>
                <w:color w:val="000000" w:themeColor="text1"/>
                <w:sz w:val="22"/>
                <w:szCs w:val="22"/>
              </w:rPr>
            </w:pPr>
            <w:r w:rsidRPr="003A0C68">
              <w:rPr>
                <w:rStyle w:val="normaltextrun"/>
                <w:rFonts w:asciiTheme="minorHAnsi" w:hAnsiTheme="minorHAnsi" w:cstheme="minorHAnsi"/>
                <w:color w:val="000000" w:themeColor="text1"/>
                <w:sz w:val="22"/>
                <w:szCs w:val="22"/>
              </w:rPr>
              <w:t xml:space="preserve">Of </w:t>
            </w:r>
            <w:r w:rsidRPr="003A0C68">
              <w:rPr>
                <w:rStyle w:val="normaltextrun"/>
                <w:rFonts w:asciiTheme="minorHAnsi" w:hAnsiTheme="minorHAnsi" w:cstheme="minorHAnsi"/>
                <w:color w:val="000000" w:themeColor="text1"/>
                <w:position w:val="1"/>
                <w:sz w:val="22"/>
                <w:szCs w:val="22"/>
              </w:rPr>
              <w:t xml:space="preserve">1565 TAVRs performed within KPNC, 22% of patients </w:t>
            </w:r>
            <w:r w:rsidRPr="003A0C68">
              <w:rPr>
                <w:rStyle w:val="normaltextrun"/>
                <w:rFonts w:asciiTheme="minorHAnsi" w:hAnsiTheme="minorHAnsi" w:cstheme="minorHAnsi"/>
                <w:color w:val="000000" w:themeColor="text1"/>
                <w:sz w:val="22"/>
                <w:szCs w:val="22"/>
              </w:rPr>
              <w:t xml:space="preserve">were </w:t>
            </w:r>
            <w:r w:rsidRPr="003A0C68">
              <w:rPr>
                <w:rStyle w:val="normaltextrun"/>
                <w:rFonts w:asciiTheme="minorHAnsi" w:hAnsiTheme="minorHAnsi" w:cstheme="minorHAnsi"/>
                <w:color w:val="000000" w:themeColor="text1"/>
                <w:position w:val="1"/>
                <w:sz w:val="22"/>
                <w:szCs w:val="22"/>
              </w:rPr>
              <w:t>classified as low risk, 62% as intermediate risk, and 13% as high risk based on the STS Risk Score. STS Risk Score was unavailable for 3% of the cohort.</w:t>
            </w:r>
          </w:p>
          <w:p w14:paraId="25202E92" w14:textId="77777777" w:rsidR="00590307" w:rsidRPr="003A0C68" w:rsidRDefault="00590307" w:rsidP="00590307">
            <w:pPr>
              <w:pStyle w:val="paragraph"/>
              <w:numPr>
                <w:ilvl w:val="0"/>
                <w:numId w:val="4"/>
              </w:numPr>
              <w:spacing w:before="0" w:beforeAutospacing="0" w:after="0" w:afterAutospacing="0"/>
              <w:ind w:left="331"/>
              <w:textAlignment w:val="baseline"/>
              <w:rPr>
                <w:rFonts w:asciiTheme="minorHAnsi" w:hAnsiTheme="minorHAnsi" w:cstheme="minorHAnsi"/>
                <w:color w:val="000000" w:themeColor="text1"/>
                <w:sz w:val="22"/>
                <w:szCs w:val="22"/>
              </w:rPr>
            </w:pPr>
            <w:r w:rsidRPr="003A0C68">
              <w:rPr>
                <w:rStyle w:val="normaltextrun"/>
                <w:rFonts w:asciiTheme="minorHAnsi" w:hAnsiTheme="minorHAnsi" w:cstheme="minorHAnsi"/>
                <w:color w:val="000000" w:themeColor="text1"/>
                <w:position w:val="1"/>
                <w:sz w:val="22"/>
                <w:szCs w:val="22"/>
              </w:rPr>
              <w:t>Patients with a higher STS Risk Score tended to be older, women, and were more likely to have a prior history of cardiac surgery and a substantially higher burden of cardiac and non-cardiac comorbidities.</w:t>
            </w:r>
          </w:p>
          <w:p w14:paraId="5EA76BA2" w14:textId="77777777" w:rsidR="00590307" w:rsidRPr="003A0C68" w:rsidRDefault="00590307" w:rsidP="00590307">
            <w:pPr>
              <w:pStyle w:val="paragraph"/>
              <w:numPr>
                <w:ilvl w:val="0"/>
                <w:numId w:val="4"/>
              </w:numPr>
              <w:spacing w:before="0" w:beforeAutospacing="0" w:after="0" w:afterAutospacing="0"/>
              <w:ind w:left="331"/>
              <w:textAlignment w:val="baseline"/>
              <w:rPr>
                <w:rFonts w:asciiTheme="minorHAnsi" w:hAnsiTheme="minorHAnsi" w:cstheme="minorHAnsi"/>
                <w:color w:val="000000" w:themeColor="text1"/>
                <w:sz w:val="22"/>
                <w:szCs w:val="22"/>
              </w:rPr>
            </w:pPr>
            <w:r w:rsidRPr="003A0C68">
              <w:rPr>
                <w:rStyle w:val="normaltextrun"/>
                <w:rFonts w:asciiTheme="minorHAnsi" w:hAnsiTheme="minorHAnsi" w:cstheme="minorHAnsi"/>
                <w:color w:val="000000" w:themeColor="text1"/>
                <w:position w:val="1"/>
                <w:sz w:val="22"/>
                <w:szCs w:val="22"/>
              </w:rPr>
              <w:t xml:space="preserve">Most TAVR procedures were performed in a hybrid operating room, and transfemoral access was obtained in ~93% of overall cases and in &gt;95% of </w:t>
            </w:r>
            <w:proofErr w:type="gramStart"/>
            <w:r w:rsidRPr="003A0C68">
              <w:rPr>
                <w:rStyle w:val="normaltextrun"/>
                <w:rFonts w:asciiTheme="minorHAnsi" w:hAnsiTheme="minorHAnsi" w:cstheme="minorHAnsi"/>
                <w:color w:val="000000" w:themeColor="text1"/>
                <w:position w:val="1"/>
                <w:sz w:val="22"/>
                <w:szCs w:val="22"/>
              </w:rPr>
              <w:t>low risk</w:t>
            </w:r>
            <w:proofErr w:type="gramEnd"/>
            <w:r w:rsidRPr="003A0C68">
              <w:rPr>
                <w:rStyle w:val="normaltextrun"/>
                <w:rFonts w:asciiTheme="minorHAnsi" w:hAnsiTheme="minorHAnsi" w:cstheme="minorHAnsi"/>
                <w:color w:val="000000" w:themeColor="text1"/>
                <w:position w:val="1"/>
                <w:sz w:val="22"/>
                <w:szCs w:val="22"/>
              </w:rPr>
              <w:t xml:space="preserve"> patients.</w:t>
            </w:r>
          </w:p>
          <w:p w14:paraId="57D90276" w14:textId="77777777" w:rsidR="00590307" w:rsidRPr="003A0C68" w:rsidRDefault="00590307" w:rsidP="00590307">
            <w:pPr>
              <w:pStyle w:val="paragraph"/>
              <w:numPr>
                <w:ilvl w:val="0"/>
                <w:numId w:val="4"/>
              </w:numPr>
              <w:spacing w:before="0" w:beforeAutospacing="0" w:after="0" w:afterAutospacing="0"/>
              <w:ind w:left="331"/>
              <w:textAlignment w:val="baseline"/>
              <w:rPr>
                <w:rFonts w:asciiTheme="minorHAnsi" w:hAnsiTheme="minorHAnsi" w:cstheme="minorHAnsi"/>
                <w:color w:val="000000" w:themeColor="text1"/>
                <w:sz w:val="22"/>
                <w:szCs w:val="22"/>
              </w:rPr>
            </w:pPr>
            <w:r w:rsidRPr="003A0C68">
              <w:rPr>
                <w:rStyle w:val="normaltextrun"/>
                <w:rFonts w:asciiTheme="minorHAnsi" w:hAnsiTheme="minorHAnsi" w:cstheme="minorHAnsi"/>
                <w:color w:val="000000" w:themeColor="text1"/>
                <w:position w:val="1"/>
                <w:sz w:val="22"/>
                <w:szCs w:val="22"/>
              </w:rPr>
              <w:t>Overall, among those who had available baseline quality of life, &gt;90% of patients were alive and had either a favorable quality of life measurement or experienced an improvement in quality of life at 30 days post-TAVR. This is significantly better than what has been reported at the national level.</w:t>
            </w:r>
          </w:p>
          <w:p w14:paraId="3B405630" w14:textId="77777777" w:rsidR="00590307" w:rsidRPr="003A0C68" w:rsidRDefault="00590307" w:rsidP="00590307">
            <w:pPr>
              <w:pStyle w:val="paragraph"/>
              <w:numPr>
                <w:ilvl w:val="0"/>
                <w:numId w:val="4"/>
              </w:numPr>
              <w:spacing w:before="0" w:beforeAutospacing="0" w:after="0" w:afterAutospacing="0"/>
              <w:ind w:left="331"/>
              <w:textAlignment w:val="baseline"/>
              <w:rPr>
                <w:rStyle w:val="normaltextrun"/>
                <w:rFonts w:asciiTheme="minorHAnsi" w:hAnsiTheme="minorHAnsi" w:cstheme="minorHAnsi"/>
                <w:color w:val="003B71"/>
                <w:position w:val="1"/>
                <w:sz w:val="22"/>
                <w:szCs w:val="22"/>
              </w:rPr>
            </w:pPr>
            <w:r w:rsidRPr="003A0C68">
              <w:rPr>
                <w:rStyle w:val="normaltextrun"/>
                <w:rFonts w:asciiTheme="minorHAnsi" w:hAnsiTheme="minorHAnsi" w:cstheme="minorHAnsi"/>
                <w:color w:val="000000" w:themeColor="text1"/>
                <w:position w:val="1"/>
                <w:sz w:val="22"/>
                <w:szCs w:val="22"/>
              </w:rPr>
              <w:t>All-cause hospitalizations (6.8% of patients) and all-cause ED visits (15.3% of patients) at 30 days were relatively high across the entire risk spectrum</w:t>
            </w:r>
            <w:r w:rsidRPr="003A0C68">
              <w:rPr>
                <w:rStyle w:val="normaltextrun"/>
                <w:rFonts w:asciiTheme="minorHAnsi" w:hAnsiTheme="minorHAnsi" w:cstheme="minorHAnsi"/>
                <w:color w:val="003B71"/>
                <w:position w:val="1"/>
                <w:sz w:val="22"/>
                <w:szCs w:val="22"/>
              </w:rPr>
              <w:t>.</w:t>
            </w:r>
          </w:p>
          <w:p w14:paraId="2E3749CD" w14:textId="77777777" w:rsidR="00590307" w:rsidRPr="003A0C68" w:rsidRDefault="00590307" w:rsidP="00590307">
            <w:pPr>
              <w:pStyle w:val="paragraph"/>
              <w:numPr>
                <w:ilvl w:val="0"/>
                <w:numId w:val="4"/>
              </w:numPr>
              <w:spacing w:before="0" w:beforeAutospacing="0" w:after="0" w:afterAutospacing="0"/>
              <w:ind w:left="331"/>
              <w:textAlignment w:val="baseline"/>
              <w:rPr>
                <w:rFonts w:asciiTheme="minorHAnsi" w:hAnsiTheme="minorHAnsi" w:cstheme="minorHAnsi"/>
                <w:sz w:val="22"/>
                <w:szCs w:val="22"/>
              </w:rPr>
            </w:pPr>
            <w:r w:rsidRPr="003A0C68">
              <w:rPr>
                <w:rFonts w:asciiTheme="minorHAnsi" w:hAnsiTheme="minorHAnsi" w:cstheme="minorHAnsi"/>
                <w:sz w:val="22"/>
                <w:szCs w:val="22"/>
              </w:rPr>
              <w:t>Predictive risk models showed high discrimination for death and HF-related utilization at 30 days, and for HF-related ED visits only at 365 days.</w:t>
            </w:r>
          </w:p>
          <w:p w14:paraId="3CD35CB0" w14:textId="1A171990" w:rsidR="0048655A" w:rsidRPr="003A0C68" w:rsidRDefault="00590307" w:rsidP="00590307">
            <w:pPr>
              <w:spacing w:line="259" w:lineRule="auto"/>
              <w:rPr>
                <w:rFonts w:cstheme="minorHAnsi"/>
              </w:rPr>
            </w:pPr>
            <w:r w:rsidRPr="003A0C68">
              <w:rPr>
                <w:rFonts w:cstheme="minorHAnsi"/>
              </w:rPr>
              <w:lastRenderedPageBreak/>
              <w:t>TAVR valve characteristics were not associated with restenosis during follow-up.</w:t>
            </w:r>
          </w:p>
        </w:tc>
      </w:tr>
      <w:tr w:rsidR="008E6D2C" w:rsidRPr="003A0C68" w14:paraId="62542513" w14:textId="77777777" w:rsidTr="00A67AF1">
        <w:trPr>
          <w:trHeight w:val="524"/>
        </w:trPr>
        <w:tc>
          <w:tcPr>
            <w:tcW w:w="1975" w:type="dxa"/>
          </w:tcPr>
          <w:p w14:paraId="38755ADC" w14:textId="77777777" w:rsidR="0048655A" w:rsidRPr="003A0C68" w:rsidRDefault="0048655A" w:rsidP="0048655A">
            <w:pPr>
              <w:spacing w:line="259" w:lineRule="auto"/>
              <w:rPr>
                <w:rFonts w:cstheme="minorHAnsi"/>
                <w:b/>
                <w:bCs/>
              </w:rPr>
            </w:pPr>
            <w:r w:rsidRPr="003A0C68">
              <w:rPr>
                <w:rFonts w:cstheme="minorHAnsi"/>
                <w:b/>
                <w:bCs/>
              </w:rPr>
              <w:lastRenderedPageBreak/>
              <w:t>Resulting Action/Change</w:t>
            </w:r>
          </w:p>
        </w:tc>
        <w:tc>
          <w:tcPr>
            <w:tcW w:w="8730" w:type="dxa"/>
          </w:tcPr>
          <w:p w14:paraId="092B6F29" w14:textId="2FE7F56F" w:rsidR="0048655A" w:rsidRPr="003A0C68" w:rsidRDefault="00A67AF1" w:rsidP="0048655A">
            <w:pPr>
              <w:spacing w:line="259" w:lineRule="auto"/>
              <w:rPr>
                <w:rFonts w:cstheme="minorHAnsi"/>
                <w:b/>
                <w:bCs/>
              </w:rPr>
            </w:pPr>
            <w:r w:rsidRPr="003A0C68">
              <w:rPr>
                <w:rFonts w:cstheme="minorHAnsi"/>
                <w:noProof/>
              </w:rPr>
              <w:t>See figure of analytic cohort and tables of associated risk score and outcomes below</w:t>
            </w:r>
            <w:r w:rsidRPr="003A0C68">
              <w:rPr>
                <w:rFonts w:cstheme="minorHAnsi"/>
              </w:rPr>
              <w:t>.</w:t>
            </w:r>
          </w:p>
        </w:tc>
      </w:tr>
      <w:bookmarkEnd w:id="0"/>
    </w:tbl>
    <w:p w14:paraId="3C70BD6F" w14:textId="77777777" w:rsidR="009C56E3" w:rsidRPr="003A0C68" w:rsidRDefault="009C56E3" w:rsidP="00C73A94">
      <w:pPr>
        <w:spacing w:after="0"/>
        <w:rPr>
          <w:rFonts w:cstheme="minorHAnsi"/>
        </w:rPr>
      </w:pPr>
    </w:p>
    <w:p w14:paraId="061F4660" w14:textId="77777777" w:rsidR="009C56E3" w:rsidRDefault="009C56E3" w:rsidP="00C73A94">
      <w:pPr>
        <w:spacing w:after="0"/>
      </w:pPr>
    </w:p>
    <w:p w14:paraId="1A1D8F1A" w14:textId="77777777" w:rsidR="009C56E3" w:rsidRDefault="009C56E3" w:rsidP="00C73A94">
      <w:pPr>
        <w:spacing w:after="0"/>
      </w:pPr>
    </w:p>
    <w:p w14:paraId="0FEF5633" w14:textId="77777777" w:rsidR="009C56E3" w:rsidRDefault="009C56E3" w:rsidP="009C56E3">
      <w:pPr>
        <w:spacing w:after="0" w:line="240" w:lineRule="auto"/>
        <w:rPr>
          <w:rFonts w:ascii="Times New Roman" w:eastAsia="Times New Roman" w:hAnsi="Times New Roman" w:cs="Times New Roman"/>
          <w:sz w:val="24"/>
          <w:szCs w:val="24"/>
        </w:rPr>
      </w:pPr>
    </w:p>
    <w:p w14:paraId="6BCA9567" w14:textId="77777777" w:rsidR="009C56E3" w:rsidRPr="00136317" w:rsidRDefault="009C56E3" w:rsidP="009C56E3">
      <w:pPr>
        <w:spacing w:after="0" w:line="240" w:lineRule="auto"/>
        <w:rPr>
          <w:rStyle w:val="normaltextrun"/>
          <w:rFonts w:ascii="Arial" w:hAnsi="Arial" w:cs="Arial"/>
          <w:b/>
          <w:bCs/>
          <w:color w:val="003B71"/>
          <w:position w:val="3"/>
          <w:shd w:val="clear" w:color="auto" w:fill="EDEBE9"/>
        </w:rPr>
      </w:pPr>
      <w:r w:rsidRPr="00136317">
        <w:rPr>
          <w:rStyle w:val="normaltextrun"/>
          <w:rFonts w:ascii="Arial" w:hAnsi="Arial" w:cs="Arial"/>
          <w:b/>
          <w:bCs/>
          <w:color w:val="003B71"/>
          <w:position w:val="3"/>
          <w:shd w:val="clear" w:color="auto" w:fill="EDEBE9"/>
        </w:rPr>
        <w:t>Higher STS Risk Score Not Significantly Associated with Outcomes at 30 days</w:t>
      </w:r>
    </w:p>
    <w:p w14:paraId="55D27712" w14:textId="77777777" w:rsidR="009C56E3" w:rsidRPr="00136317" w:rsidRDefault="009C56E3" w:rsidP="009C56E3">
      <w:pPr>
        <w:spacing w:after="0" w:line="240" w:lineRule="auto"/>
        <w:rPr>
          <w:rFonts w:ascii="Times New Roman" w:eastAsia="Times New Roman"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7"/>
        <w:gridCol w:w="1286"/>
        <w:gridCol w:w="1695"/>
        <w:gridCol w:w="1286"/>
        <w:gridCol w:w="2010"/>
        <w:gridCol w:w="1286"/>
        <w:gridCol w:w="1874"/>
      </w:tblGrid>
      <w:tr w:rsidR="009C56E3" w:rsidRPr="00905010" w14:paraId="3C262135" w14:textId="77777777" w:rsidTr="00E856E3">
        <w:trPr>
          <w:trHeight w:val="627"/>
        </w:trPr>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062EC1B0"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136317">
              <w:rPr>
                <w:rFonts w:ascii="Arial" w:eastAsia="Times New Roman" w:hAnsi="Arial" w:cs="Arial"/>
                <w:b/>
                <w:bCs/>
                <w:color w:val="FFFFFF"/>
              </w:rPr>
              <w:t>​</w:t>
            </w:r>
            <w:r>
              <w:rPr>
                <w:rFonts w:ascii="Arial" w:eastAsia="Times New Roman" w:hAnsi="Arial" w:cs="Arial"/>
                <w:b/>
                <w:bCs/>
                <w:color w:val="FFFFFF"/>
              </w:rPr>
              <w:t>30-day outcomes</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4AC92FBD"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136317">
              <w:rPr>
                <w:rFonts w:ascii="Arial" w:eastAsia="Times New Roman" w:hAnsi="Arial" w:cs="Arial"/>
                <w:b/>
                <w:bCs/>
                <w:color w:val="FFFFFF"/>
                <w:position w:val="-1"/>
              </w:rPr>
              <w:t>Death*</w:t>
            </w:r>
            <w:r w:rsidRPr="00136317">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23394558"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136317">
              <w:rPr>
                <w:rFonts w:ascii="Arial" w:eastAsia="Times New Roman" w:hAnsi="Arial" w:cs="Arial"/>
                <w:b/>
                <w:bCs/>
                <w:color w:val="FFFFFF"/>
                <w:position w:val="-1"/>
              </w:rPr>
              <w:t>Hospitalization*</w:t>
            </w:r>
            <w:r w:rsidRPr="00136317">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67261915"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136317">
              <w:rPr>
                <w:rFonts w:ascii="Arial" w:eastAsia="Times New Roman" w:hAnsi="Arial" w:cs="Arial"/>
                <w:b/>
                <w:bCs/>
                <w:color w:val="FFFFFF"/>
                <w:position w:val="-1"/>
              </w:rPr>
              <w:t>ED visit*</w:t>
            </w:r>
            <w:r w:rsidRPr="00136317">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3B9D2BD9"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136317">
              <w:rPr>
                <w:rFonts w:ascii="Arial" w:eastAsia="Times New Roman" w:hAnsi="Arial" w:cs="Arial"/>
                <w:b/>
                <w:bCs/>
                <w:color w:val="FFFFFF"/>
                <w:position w:val="-1"/>
              </w:rPr>
              <w:t>HF hospitalization*</w:t>
            </w:r>
            <w:r w:rsidRPr="00136317">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17A7E8EB"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136317">
              <w:rPr>
                <w:rFonts w:ascii="Arial" w:eastAsia="Times New Roman" w:hAnsi="Arial" w:cs="Arial"/>
                <w:b/>
                <w:bCs/>
                <w:color w:val="FFFFFF"/>
                <w:position w:val="-1"/>
              </w:rPr>
              <w:t>HF ED visit*</w:t>
            </w:r>
            <w:r w:rsidRPr="00136317">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1F9F44FB"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136317">
              <w:rPr>
                <w:rFonts w:ascii="Arial" w:eastAsia="Times New Roman" w:hAnsi="Arial" w:cs="Arial"/>
                <w:b/>
                <w:bCs/>
                <w:color w:val="FFFFFF"/>
                <w:position w:val="-1"/>
              </w:rPr>
              <w:t>Quality of life not improved**</w:t>
            </w:r>
            <w:r w:rsidRPr="00136317">
              <w:rPr>
                <w:rFonts w:ascii="Arial" w:eastAsia="Times New Roman" w:hAnsi="Arial" w:cs="Arial"/>
                <w:b/>
                <w:bCs/>
                <w:color w:val="FFFFFF"/>
              </w:rPr>
              <w:t>​</w:t>
            </w:r>
          </w:p>
        </w:tc>
      </w:tr>
      <w:tr w:rsidR="009C56E3" w:rsidRPr="00905010" w14:paraId="2DE54BAF" w14:textId="77777777" w:rsidTr="00E856E3">
        <w:trPr>
          <w:trHeight w:val="396"/>
        </w:trPr>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1DD4C7CC" w14:textId="77777777" w:rsidR="009C56E3" w:rsidRPr="00136317"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136317">
              <w:rPr>
                <w:rFonts w:ascii="Arial" w:eastAsia="Times New Roman" w:hAnsi="Arial" w:cs="Arial"/>
                <w:color w:val="003B71"/>
                <w:position w:val="-1"/>
              </w:rPr>
              <w:t>STS &lt;3</w:t>
            </w:r>
            <w:r w:rsidRPr="00136317">
              <w:rPr>
                <w:rFonts w:ascii="Arial" w:eastAsia="Times New Roman" w:hAnsi="Arial" w:cs="Arial"/>
                <w:color w:val="003B71"/>
              </w:rPr>
              <w:t>​</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070192E9"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626DB827"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263EA342"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4C09F4D1"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3501C799"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205311F9"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(reference)​</w:t>
            </w:r>
          </w:p>
        </w:tc>
      </w:tr>
      <w:tr w:rsidR="009C56E3" w:rsidRPr="00905010" w14:paraId="1A1BA88F" w14:textId="77777777" w:rsidTr="00E856E3">
        <w:trPr>
          <w:trHeight w:val="402"/>
        </w:trPr>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50954453" w14:textId="77777777" w:rsidR="009C56E3" w:rsidRPr="00136317"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136317">
              <w:rPr>
                <w:rFonts w:ascii="Arial" w:eastAsia="Times New Roman" w:hAnsi="Arial" w:cs="Arial"/>
                <w:color w:val="003B71"/>
                <w:position w:val="-1"/>
              </w:rPr>
              <w:t>STS 3-8</w:t>
            </w:r>
            <w:r w:rsidRPr="00136317">
              <w:rPr>
                <w:rFonts w:ascii="Arial" w:eastAsia="Times New Roman" w:hAnsi="Arial" w:cs="Arial"/>
                <w:color w:val="003B71"/>
              </w:rPr>
              <w:t>​</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096B167F"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0.95 (0.27-3.36)​</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6C4AC0A7"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1.47 (0.73-2.98)​</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0ACDC18E"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0.96 (0.61-1.50)​</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128713DE"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1.12 (0.15-8.60)​</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6311F6BA"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0.82 (0.32-2.13)​</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4333178F"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0.80 (0.30-2.12)​</w:t>
            </w:r>
          </w:p>
        </w:tc>
      </w:tr>
      <w:tr w:rsidR="009C56E3" w:rsidRPr="00905010" w14:paraId="0CF1B3E6" w14:textId="77777777" w:rsidTr="00E856E3">
        <w:trPr>
          <w:trHeight w:val="402"/>
        </w:trPr>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321E4719" w14:textId="77777777" w:rsidR="009C56E3" w:rsidRPr="00136317"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136317">
              <w:rPr>
                <w:rFonts w:ascii="Arial" w:eastAsia="Times New Roman" w:hAnsi="Arial" w:cs="Arial"/>
                <w:color w:val="003B71"/>
                <w:position w:val="-1"/>
              </w:rPr>
              <w:t>STS &gt;8</w:t>
            </w:r>
            <w:r w:rsidRPr="00136317">
              <w:rPr>
                <w:rFonts w:ascii="Arial" w:eastAsia="Times New Roman" w:hAnsi="Arial" w:cs="Arial"/>
                <w:color w:val="003B71"/>
              </w:rPr>
              <w:t>​</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4E9A590E"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1.42 (0.35-5.81)​</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12575929"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1.01 (0.29-3.57)​</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3C044306"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0.81 (0.41-1.63)​</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0A8C21D0"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0.29 (0.03-3.16)​</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3CF9D9DE"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0.83 (0.28-2.43)​</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5827E10E"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1.00 (0.24-4.16)​</w:t>
            </w:r>
          </w:p>
        </w:tc>
      </w:tr>
      <w:tr w:rsidR="009C56E3" w:rsidRPr="00905010" w14:paraId="54615DA6" w14:textId="77777777" w:rsidTr="00E856E3">
        <w:trPr>
          <w:trHeight w:val="411"/>
        </w:trPr>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2F8F41EB" w14:textId="77777777" w:rsidR="009C56E3" w:rsidRPr="00136317"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136317">
              <w:rPr>
                <w:rFonts w:ascii="Arial" w:eastAsia="Times New Roman" w:hAnsi="Arial" w:cs="Arial"/>
                <w:color w:val="003B71"/>
                <w:position w:val="-1"/>
              </w:rPr>
              <w:t>STS missing</w:t>
            </w:r>
            <w:r w:rsidRPr="00136317">
              <w:rPr>
                <w:rFonts w:ascii="Arial" w:eastAsia="Times New Roman" w:hAnsi="Arial" w:cs="Arial"/>
                <w:color w:val="003B71"/>
              </w:rPr>
              <w:t>​</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25E0932A"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0.00 (0.00-0.00)​</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337A6DFA"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2.70 (0.69-10.60)​</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7AD9E0BD"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0.87 (0.29-2.64)​</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138FB976"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1.68 (0.09-31.76)​</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0BCA8EA8"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0.57 (0.08-4.07)​</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74CF6BA4" w14:textId="77777777" w:rsidR="009C56E3" w:rsidRPr="00136317"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136317">
              <w:rPr>
                <w:rFonts w:ascii="Arial" w:eastAsia="Times New Roman" w:hAnsi="Arial" w:cs="Arial"/>
                <w:color w:val="003B71"/>
              </w:rPr>
              <w:t>4.28 (0.62-29.49)​</w:t>
            </w:r>
          </w:p>
        </w:tc>
      </w:tr>
    </w:tbl>
    <w:p w14:paraId="365298E0" w14:textId="77777777" w:rsidR="009C56E3" w:rsidRPr="004455F2" w:rsidRDefault="009C56E3" w:rsidP="009C56E3">
      <w:pPr>
        <w:spacing w:after="0" w:line="240" w:lineRule="auto"/>
        <w:textAlignment w:val="baseline"/>
        <w:rPr>
          <w:rFonts w:ascii="Segoe UI" w:eastAsia="Times New Roman" w:hAnsi="Segoe UI" w:cs="Segoe UI"/>
          <w:sz w:val="18"/>
          <w:szCs w:val="18"/>
        </w:rPr>
      </w:pPr>
      <w:r w:rsidRPr="004455F2">
        <w:rPr>
          <w:rFonts w:ascii="Arial" w:eastAsia="Times New Roman" w:hAnsi="Arial" w:cs="Arial"/>
          <w:color w:val="003B71"/>
          <w:sz w:val="17"/>
          <w:szCs w:val="17"/>
        </w:rPr>
        <w:t>* Adjusted hazard ratio and 95% confidence interval</w:t>
      </w:r>
      <w:r w:rsidRPr="004455F2">
        <w:rPr>
          <w:rFonts w:ascii="Arial" w:eastAsia="Times New Roman" w:hAnsi="Arial" w:cs="Arial"/>
          <w:sz w:val="17"/>
          <w:szCs w:val="17"/>
        </w:rPr>
        <w:t>​</w:t>
      </w:r>
    </w:p>
    <w:p w14:paraId="19BF8E9D" w14:textId="77777777" w:rsidR="009C56E3" w:rsidRPr="004455F2" w:rsidRDefault="009C56E3" w:rsidP="009C56E3">
      <w:pPr>
        <w:spacing w:after="0" w:line="240" w:lineRule="auto"/>
        <w:textAlignment w:val="baseline"/>
        <w:rPr>
          <w:rFonts w:ascii="Segoe UI" w:eastAsia="Times New Roman" w:hAnsi="Segoe UI" w:cs="Segoe UI"/>
          <w:sz w:val="18"/>
          <w:szCs w:val="18"/>
        </w:rPr>
      </w:pPr>
      <w:r w:rsidRPr="004455F2">
        <w:rPr>
          <w:rFonts w:ascii="Arial" w:eastAsia="Times New Roman" w:hAnsi="Arial" w:cs="Arial"/>
          <w:color w:val="003B71"/>
          <w:sz w:val="17"/>
          <w:szCs w:val="17"/>
        </w:rPr>
        <w:t>** Adjusted odds ratio and 95% confidence interval</w:t>
      </w:r>
    </w:p>
    <w:p w14:paraId="64CECA37" w14:textId="77777777" w:rsidR="009C56E3" w:rsidRDefault="009C56E3" w:rsidP="009C56E3">
      <w:pPr>
        <w:spacing w:after="0"/>
      </w:pPr>
    </w:p>
    <w:p w14:paraId="6C308E1F" w14:textId="77777777" w:rsidR="009C56E3" w:rsidRPr="00136317" w:rsidRDefault="009C56E3" w:rsidP="009C56E3">
      <w:pPr>
        <w:spacing w:after="0" w:line="240" w:lineRule="auto"/>
        <w:rPr>
          <w:rFonts w:ascii="Arial" w:hAnsi="Arial" w:cs="Arial"/>
          <w:b/>
          <w:bCs/>
          <w:color w:val="003B71"/>
          <w:position w:val="3"/>
          <w:shd w:val="clear" w:color="auto" w:fill="EDEBE9"/>
        </w:rPr>
      </w:pPr>
      <w:r w:rsidRPr="00B46286">
        <w:rPr>
          <w:rStyle w:val="normaltextrun"/>
          <w:rFonts w:ascii="Arial" w:hAnsi="Arial" w:cs="Arial"/>
          <w:b/>
          <w:bCs/>
          <w:color w:val="003B71"/>
          <w:position w:val="3"/>
          <w:shd w:val="clear" w:color="auto" w:fill="EDEBE9"/>
        </w:rPr>
        <w:t>Higher STS Risk Score Not Significantly Associated with Outcomes at 365 days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7"/>
        <w:gridCol w:w="1282"/>
        <w:gridCol w:w="1681"/>
        <w:gridCol w:w="1282"/>
        <w:gridCol w:w="2010"/>
        <w:gridCol w:w="1282"/>
        <w:gridCol w:w="1860"/>
      </w:tblGrid>
      <w:tr w:rsidR="009C56E3" w:rsidRPr="00905010" w14:paraId="6CBE94DC" w14:textId="77777777" w:rsidTr="00101D05">
        <w:trPr>
          <w:trHeight w:val="510"/>
        </w:trPr>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1DC93BEA" w14:textId="77777777" w:rsidR="009C56E3" w:rsidRPr="00B46286" w:rsidRDefault="009C56E3" w:rsidP="00505349">
            <w:pPr>
              <w:spacing w:before="100" w:beforeAutospacing="1" w:after="100" w:afterAutospacing="1" w:line="240" w:lineRule="auto"/>
              <w:textAlignment w:val="baseline"/>
              <w:rPr>
                <w:rFonts w:ascii="Times New Roman" w:eastAsia="Times New Roman" w:hAnsi="Times New Roman" w:cs="Times New Roman"/>
                <w:b/>
                <w:bCs/>
                <w:color w:val="FFFFFF"/>
              </w:rPr>
            </w:pPr>
            <w:r w:rsidRPr="00B46286">
              <w:rPr>
                <w:rFonts w:ascii="Arial" w:eastAsia="Times New Roman" w:hAnsi="Arial" w:cs="Arial"/>
                <w:b/>
                <w:bCs/>
                <w:color w:val="FFFFFF"/>
              </w:rPr>
              <w:t>​</w:t>
            </w:r>
            <w:r>
              <w:rPr>
                <w:rFonts w:ascii="Arial" w:eastAsia="Times New Roman" w:hAnsi="Arial" w:cs="Arial"/>
                <w:b/>
                <w:bCs/>
                <w:color w:val="FFFFFF"/>
              </w:rPr>
              <w:t>365-day outcomes</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4C0C5533"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B46286">
              <w:rPr>
                <w:rFonts w:ascii="Arial" w:eastAsia="Times New Roman" w:hAnsi="Arial" w:cs="Arial"/>
                <w:b/>
                <w:bCs/>
                <w:color w:val="FFFFFF"/>
                <w:position w:val="-1"/>
              </w:rPr>
              <w:t>Death*</w:t>
            </w:r>
            <w:r w:rsidRPr="00B46286">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102D7386"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B46286">
              <w:rPr>
                <w:rFonts w:ascii="Arial" w:eastAsia="Times New Roman" w:hAnsi="Arial" w:cs="Arial"/>
                <w:b/>
                <w:bCs/>
                <w:color w:val="FFFFFF"/>
                <w:position w:val="-1"/>
              </w:rPr>
              <w:t>Hospitalization*</w:t>
            </w:r>
            <w:r w:rsidRPr="00B46286">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3AB5A808"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B46286">
              <w:rPr>
                <w:rFonts w:ascii="Arial" w:eastAsia="Times New Roman" w:hAnsi="Arial" w:cs="Arial"/>
                <w:b/>
                <w:bCs/>
                <w:color w:val="FFFFFF"/>
                <w:position w:val="-1"/>
              </w:rPr>
              <w:t>ED visit*</w:t>
            </w:r>
            <w:r w:rsidRPr="00B46286">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65FC1844"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B46286">
              <w:rPr>
                <w:rFonts w:ascii="Arial" w:eastAsia="Times New Roman" w:hAnsi="Arial" w:cs="Arial"/>
                <w:b/>
                <w:bCs/>
                <w:color w:val="FFFFFF"/>
                <w:position w:val="-1"/>
              </w:rPr>
              <w:t>HF hospitalization*</w:t>
            </w:r>
            <w:r w:rsidRPr="00B46286">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133BCEFC"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B46286">
              <w:rPr>
                <w:rFonts w:ascii="Arial" w:eastAsia="Times New Roman" w:hAnsi="Arial" w:cs="Arial"/>
                <w:b/>
                <w:bCs/>
                <w:color w:val="FFFFFF"/>
                <w:position w:val="-1"/>
              </w:rPr>
              <w:t>HF ED visit*</w:t>
            </w:r>
            <w:r w:rsidRPr="00B46286">
              <w:rPr>
                <w:rFonts w:ascii="Arial" w:eastAsia="Times New Roman" w:hAnsi="Arial" w:cs="Arial"/>
                <w:b/>
                <w:bCs/>
                <w:color w:val="FFFFFF"/>
              </w:rPr>
              <w:t>​</w:t>
            </w:r>
          </w:p>
        </w:tc>
        <w:tc>
          <w:tcPr>
            <w:tcW w:w="0" w:type="auto"/>
            <w:tcBorders>
              <w:top w:val="single" w:sz="6" w:space="0" w:color="FFFFFF"/>
              <w:left w:val="single" w:sz="6" w:space="0" w:color="FFFFFF"/>
              <w:bottom w:val="single" w:sz="12" w:space="0" w:color="FFFFFF"/>
              <w:right w:val="single" w:sz="6" w:space="0" w:color="FFFFFF"/>
            </w:tcBorders>
            <w:shd w:val="clear" w:color="auto" w:fill="003B71"/>
            <w:hideMark/>
          </w:tcPr>
          <w:p w14:paraId="78804AB2"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b/>
                <w:bCs/>
                <w:color w:val="FFFFFF"/>
              </w:rPr>
            </w:pPr>
            <w:r w:rsidRPr="00B46286">
              <w:rPr>
                <w:rFonts w:ascii="Arial" w:eastAsia="Times New Roman" w:hAnsi="Arial" w:cs="Arial"/>
                <w:b/>
                <w:bCs/>
                <w:color w:val="FFFFFF"/>
                <w:position w:val="-1"/>
              </w:rPr>
              <w:t>Quality of life not improved**</w:t>
            </w:r>
            <w:r w:rsidRPr="00B46286">
              <w:rPr>
                <w:rFonts w:ascii="Arial" w:eastAsia="Times New Roman" w:hAnsi="Arial" w:cs="Arial"/>
                <w:b/>
                <w:bCs/>
                <w:color w:val="FFFFFF"/>
              </w:rPr>
              <w:t>​</w:t>
            </w:r>
          </w:p>
        </w:tc>
      </w:tr>
      <w:tr w:rsidR="009C56E3" w:rsidRPr="00905010" w14:paraId="0E147B27" w14:textId="77777777" w:rsidTr="00101D05">
        <w:trPr>
          <w:trHeight w:val="342"/>
        </w:trPr>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6661A20C" w14:textId="77777777" w:rsidR="009C56E3" w:rsidRPr="00B46286"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B46286">
              <w:rPr>
                <w:rFonts w:ascii="Arial" w:eastAsia="Times New Roman" w:hAnsi="Arial" w:cs="Arial"/>
                <w:color w:val="003B71"/>
                <w:position w:val="-1"/>
              </w:rPr>
              <w:t>STS &lt;3</w:t>
            </w:r>
            <w:r w:rsidRPr="00B46286">
              <w:rPr>
                <w:rFonts w:ascii="Arial" w:eastAsia="Times New Roman" w:hAnsi="Arial" w:cs="Arial"/>
                <w:color w:val="003B71"/>
              </w:rPr>
              <w:t>​</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4A929660"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749FCFEA"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31F84B8E"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1D7750B1"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055F626F"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(reference)​</w:t>
            </w:r>
          </w:p>
        </w:tc>
        <w:tc>
          <w:tcPr>
            <w:tcW w:w="0" w:type="auto"/>
            <w:tcBorders>
              <w:top w:val="single" w:sz="12" w:space="0" w:color="FFFFFF"/>
              <w:left w:val="single" w:sz="6" w:space="0" w:color="FFFFFF"/>
              <w:bottom w:val="single" w:sz="6" w:space="0" w:color="FFFFFF"/>
              <w:right w:val="single" w:sz="6" w:space="0" w:color="FFFFFF"/>
            </w:tcBorders>
            <w:shd w:val="clear" w:color="auto" w:fill="CBCED5"/>
            <w:hideMark/>
          </w:tcPr>
          <w:p w14:paraId="374FDE6B"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(reference)​</w:t>
            </w:r>
          </w:p>
        </w:tc>
      </w:tr>
      <w:tr w:rsidR="009C56E3" w:rsidRPr="00905010" w14:paraId="73E5D57A" w14:textId="77777777" w:rsidTr="00101D05">
        <w:trPr>
          <w:trHeight w:val="303"/>
        </w:trPr>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42C53732" w14:textId="77777777" w:rsidR="009C56E3" w:rsidRPr="00B46286"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B46286">
              <w:rPr>
                <w:rFonts w:ascii="Arial" w:eastAsia="Times New Roman" w:hAnsi="Arial" w:cs="Arial"/>
                <w:color w:val="003B71"/>
                <w:position w:val="-1"/>
              </w:rPr>
              <w:t>STS 3-8</w:t>
            </w:r>
            <w:r w:rsidRPr="00B46286">
              <w:rPr>
                <w:rFonts w:ascii="Arial" w:eastAsia="Times New Roman" w:hAnsi="Arial" w:cs="Arial"/>
                <w:color w:val="003B71"/>
              </w:rPr>
              <w:t>​</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22E36390"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0.90 (0.44-1.84)​</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086F6275"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1.16 (0.83-1.61)​</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3420DF7F"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1.19 (0.91-1.55)​</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6C2ADF6E"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1.69 (0.61-4.71)​</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43CA6610"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1.56 (0.90-2.70)​</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46BA4B41"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0.80 (0.38-1.71)​</w:t>
            </w:r>
          </w:p>
        </w:tc>
      </w:tr>
      <w:tr w:rsidR="009C56E3" w:rsidRPr="00905010" w14:paraId="173C7809" w14:textId="77777777" w:rsidTr="00101D05">
        <w:trPr>
          <w:trHeight w:val="339"/>
        </w:trPr>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533B937E" w14:textId="77777777" w:rsidR="009C56E3" w:rsidRPr="00B46286"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B46286">
              <w:rPr>
                <w:rFonts w:ascii="Arial" w:eastAsia="Times New Roman" w:hAnsi="Arial" w:cs="Arial"/>
                <w:color w:val="003B71"/>
                <w:position w:val="-1"/>
              </w:rPr>
              <w:t>STS &gt;8</w:t>
            </w:r>
            <w:r w:rsidRPr="00B46286">
              <w:rPr>
                <w:rFonts w:ascii="Arial" w:eastAsia="Times New Roman" w:hAnsi="Arial" w:cs="Arial"/>
                <w:color w:val="003B71"/>
              </w:rPr>
              <w:t>​</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2F963173"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0.73 (0.29-1.83)​</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2FF3D91A"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1.24 (0.76-2.02)​</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38DC897F"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1.26 (0.86-1.85)​</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7F9398D0"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0.82 (0.19-3.43)​</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5C5A4EEF"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1.54 (0.79-3.02)​</w:t>
            </w:r>
          </w:p>
        </w:tc>
        <w:tc>
          <w:tcPr>
            <w:tcW w:w="0" w:type="auto"/>
            <w:tcBorders>
              <w:top w:val="single" w:sz="6" w:space="0" w:color="FFFFFF"/>
              <w:left w:val="single" w:sz="6" w:space="0" w:color="FFFFFF"/>
              <w:bottom w:val="single" w:sz="6" w:space="0" w:color="FFFFFF"/>
              <w:right w:val="single" w:sz="6" w:space="0" w:color="FFFFFF"/>
            </w:tcBorders>
            <w:shd w:val="clear" w:color="auto" w:fill="CBCED5"/>
            <w:hideMark/>
          </w:tcPr>
          <w:p w14:paraId="0F930BE8"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0.60 (0.19-1.92)​</w:t>
            </w:r>
          </w:p>
        </w:tc>
      </w:tr>
      <w:tr w:rsidR="009C56E3" w:rsidRPr="00905010" w14:paraId="7B833E83" w14:textId="77777777" w:rsidTr="00101D05">
        <w:trPr>
          <w:trHeight w:val="483"/>
        </w:trPr>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05D59FF4" w14:textId="77777777" w:rsidR="009C56E3" w:rsidRPr="00B46286" w:rsidRDefault="009C56E3" w:rsidP="00505349">
            <w:pPr>
              <w:spacing w:before="100" w:beforeAutospacing="1" w:after="100" w:afterAutospacing="1" w:line="240" w:lineRule="auto"/>
              <w:textAlignment w:val="baseline"/>
              <w:rPr>
                <w:rFonts w:ascii="Times New Roman" w:eastAsia="Times New Roman" w:hAnsi="Times New Roman" w:cs="Times New Roman"/>
                <w:color w:val="003B71"/>
              </w:rPr>
            </w:pPr>
            <w:r w:rsidRPr="00B46286">
              <w:rPr>
                <w:rFonts w:ascii="Arial" w:eastAsia="Times New Roman" w:hAnsi="Arial" w:cs="Arial"/>
                <w:color w:val="003B71"/>
                <w:position w:val="-1"/>
              </w:rPr>
              <w:t>STS missing</w:t>
            </w:r>
            <w:r w:rsidRPr="00B46286">
              <w:rPr>
                <w:rFonts w:ascii="Arial" w:eastAsia="Times New Roman" w:hAnsi="Arial" w:cs="Arial"/>
                <w:color w:val="003B71"/>
              </w:rPr>
              <w:t>​</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6F660D55"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0.56 (0.10-3.17)​</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391A70D6"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1.46 (0.64-3.29)​</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46679E6E"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1.12 (0.60-2.07)​</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1035AFE4"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2.18 (0.35-13.53)​</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76A96DB4"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1.63 (0.53-4.98)​</w:t>
            </w:r>
          </w:p>
        </w:tc>
        <w:tc>
          <w:tcPr>
            <w:tcW w:w="0" w:type="auto"/>
            <w:tcBorders>
              <w:top w:val="single" w:sz="6" w:space="0" w:color="FFFFFF"/>
              <w:left w:val="single" w:sz="6" w:space="0" w:color="FFFFFF"/>
              <w:bottom w:val="single" w:sz="6" w:space="0" w:color="FFFFFF"/>
              <w:right w:val="single" w:sz="6" w:space="0" w:color="FFFFFF"/>
            </w:tcBorders>
            <w:shd w:val="clear" w:color="auto" w:fill="E7E8EB"/>
            <w:hideMark/>
          </w:tcPr>
          <w:p w14:paraId="5CE29537" w14:textId="77777777" w:rsidR="009C56E3" w:rsidRPr="00B46286" w:rsidRDefault="009C56E3" w:rsidP="00505349">
            <w:pPr>
              <w:spacing w:before="100" w:beforeAutospacing="1" w:after="100" w:afterAutospacing="1" w:line="240" w:lineRule="auto"/>
              <w:jc w:val="center"/>
              <w:textAlignment w:val="baseline"/>
              <w:rPr>
                <w:rFonts w:ascii="Times New Roman" w:eastAsia="Times New Roman" w:hAnsi="Times New Roman" w:cs="Times New Roman"/>
                <w:color w:val="003B71"/>
              </w:rPr>
            </w:pPr>
            <w:r w:rsidRPr="00B46286">
              <w:rPr>
                <w:rFonts w:ascii="Arial" w:eastAsia="Times New Roman" w:hAnsi="Arial" w:cs="Arial"/>
                <w:color w:val="003B71"/>
              </w:rPr>
              <w:t>1.09 (0.07-18.20)​</w:t>
            </w:r>
          </w:p>
        </w:tc>
      </w:tr>
    </w:tbl>
    <w:p w14:paraId="75021821" w14:textId="77777777" w:rsidR="009C56E3" w:rsidRPr="004455F2" w:rsidRDefault="009C56E3" w:rsidP="009C56E3">
      <w:pPr>
        <w:spacing w:after="0" w:line="240" w:lineRule="auto"/>
        <w:textAlignment w:val="baseline"/>
        <w:rPr>
          <w:rFonts w:ascii="Segoe UI" w:eastAsia="Times New Roman" w:hAnsi="Segoe UI" w:cs="Segoe UI"/>
          <w:sz w:val="18"/>
          <w:szCs w:val="18"/>
        </w:rPr>
      </w:pPr>
      <w:r w:rsidRPr="004455F2">
        <w:rPr>
          <w:rFonts w:ascii="Arial" w:eastAsia="Times New Roman" w:hAnsi="Arial" w:cs="Arial"/>
          <w:color w:val="003B71"/>
          <w:sz w:val="17"/>
          <w:szCs w:val="17"/>
        </w:rPr>
        <w:t>* Adjusted hazard ratio and 95% confidence interval</w:t>
      </w:r>
      <w:r w:rsidRPr="004455F2">
        <w:rPr>
          <w:rFonts w:ascii="Arial" w:eastAsia="Times New Roman" w:hAnsi="Arial" w:cs="Arial"/>
          <w:sz w:val="17"/>
          <w:szCs w:val="17"/>
        </w:rPr>
        <w:t>​</w:t>
      </w:r>
    </w:p>
    <w:p w14:paraId="6C64A398" w14:textId="77777777" w:rsidR="009C56E3" w:rsidRPr="004455F2" w:rsidRDefault="009C56E3" w:rsidP="009C56E3">
      <w:pPr>
        <w:spacing w:after="0" w:line="240" w:lineRule="auto"/>
        <w:textAlignment w:val="baseline"/>
        <w:rPr>
          <w:rFonts w:ascii="Segoe UI" w:eastAsia="Times New Roman" w:hAnsi="Segoe UI" w:cs="Segoe UI"/>
          <w:sz w:val="18"/>
          <w:szCs w:val="18"/>
        </w:rPr>
      </w:pPr>
      <w:r w:rsidRPr="004455F2">
        <w:rPr>
          <w:rFonts w:ascii="Arial" w:eastAsia="Times New Roman" w:hAnsi="Arial" w:cs="Arial"/>
          <w:color w:val="003B71"/>
          <w:sz w:val="17"/>
          <w:szCs w:val="17"/>
        </w:rPr>
        <w:t>** Adjusted odds ratio and 95% confidence interval</w:t>
      </w:r>
    </w:p>
    <w:p w14:paraId="6BE4F6ED" w14:textId="77777777" w:rsidR="009C56E3" w:rsidRDefault="009C56E3" w:rsidP="009C56E3">
      <w:pPr>
        <w:spacing w:after="0"/>
      </w:pPr>
    </w:p>
    <w:p w14:paraId="6B78AF70" w14:textId="77777777" w:rsidR="009C56E3" w:rsidRDefault="009C56E3" w:rsidP="00C73A94">
      <w:pPr>
        <w:spacing w:after="0"/>
      </w:pPr>
    </w:p>
    <w:sectPr w:rsidR="009C56E3"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Arial Unicode 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683A3FE2"/>
    <w:multiLevelType w:val="hybridMultilevel"/>
    <w:tmpl w:val="12B059E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01D05"/>
    <w:rsid w:val="001740DE"/>
    <w:rsid w:val="001D52BB"/>
    <w:rsid w:val="001E348B"/>
    <w:rsid w:val="00245565"/>
    <w:rsid w:val="002A1A00"/>
    <w:rsid w:val="0031051B"/>
    <w:rsid w:val="003A0C68"/>
    <w:rsid w:val="003D755D"/>
    <w:rsid w:val="003E27D1"/>
    <w:rsid w:val="003E34C5"/>
    <w:rsid w:val="0048655A"/>
    <w:rsid w:val="00514319"/>
    <w:rsid w:val="00535289"/>
    <w:rsid w:val="005855C4"/>
    <w:rsid w:val="00590307"/>
    <w:rsid w:val="005A11C6"/>
    <w:rsid w:val="006519ED"/>
    <w:rsid w:val="006D32D2"/>
    <w:rsid w:val="0072563B"/>
    <w:rsid w:val="00777238"/>
    <w:rsid w:val="007C65BD"/>
    <w:rsid w:val="008131C8"/>
    <w:rsid w:val="00864AD6"/>
    <w:rsid w:val="00871F97"/>
    <w:rsid w:val="008A7C90"/>
    <w:rsid w:val="008E6D2C"/>
    <w:rsid w:val="009001F2"/>
    <w:rsid w:val="00933309"/>
    <w:rsid w:val="009C56E3"/>
    <w:rsid w:val="00A16BB1"/>
    <w:rsid w:val="00A6382F"/>
    <w:rsid w:val="00A67AF1"/>
    <w:rsid w:val="00BA2786"/>
    <w:rsid w:val="00C3487D"/>
    <w:rsid w:val="00C4025A"/>
    <w:rsid w:val="00C73A94"/>
    <w:rsid w:val="00CB0455"/>
    <w:rsid w:val="00CD7FEA"/>
    <w:rsid w:val="00CF4301"/>
    <w:rsid w:val="00D003F1"/>
    <w:rsid w:val="00D24534"/>
    <w:rsid w:val="00DE2B8A"/>
    <w:rsid w:val="00E75BE5"/>
    <w:rsid w:val="00E856E3"/>
    <w:rsid w:val="00E8740F"/>
    <w:rsid w:val="00EB0401"/>
    <w:rsid w:val="00EF635D"/>
    <w:rsid w:val="00EF6EE1"/>
    <w:rsid w:val="00F0516D"/>
    <w:rsid w:val="00F91EB4"/>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 w:type="character" w:customStyle="1" w:styleId="normaltextrun">
    <w:name w:val="normaltextrun"/>
    <w:basedOn w:val="DefaultParagraphFont"/>
    <w:rsid w:val="00535289"/>
  </w:style>
  <w:style w:type="paragraph" w:customStyle="1" w:styleId="paragraph">
    <w:name w:val="paragraph"/>
    <w:basedOn w:val="Normal"/>
    <w:rsid w:val="00590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88A28-5B10-48BE-B8D6-480C75C53C84}">
  <ds:schemaRefs>
    <ds:schemaRef ds:uri="http://schemas.microsoft.com/office/2006/documentManagement/types"/>
    <ds:schemaRef ds:uri="http://www.w3.org/XML/1998/namespace"/>
    <ds:schemaRef ds:uri="http://purl.org/dc/elements/1.1/"/>
    <ds:schemaRef ds:uri="04c69e7e-30dd-4fc4-b8bc-afeef48eb05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0176BB3-9713-4BD6-BF86-D64B3F82AFA2}"/>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19</cp:revision>
  <dcterms:created xsi:type="dcterms:W3CDTF">2024-02-14T18:14:00Z</dcterms:created>
  <dcterms:modified xsi:type="dcterms:W3CDTF">2024-02-14T18:23:00Z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