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AFD27" w14:textId="2F8AC005" w:rsidR="00817A9E" w:rsidRDefault="00817A9E" w:rsidP="5F635F40">
      <w:pPr>
        <w:pStyle w:val="NoSpacing"/>
        <w:rPr>
          <w:color w:val="4472C4" w:themeColor="accent1"/>
          <w:sz w:val="28"/>
          <w:szCs w:val="28"/>
        </w:rPr>
      </w:pPr>
      <w:r w:rsidRPr="5F635F40">
        <w:rPr>
          <w:color w:val="4472C4" w:themeColor="accent1"/>
          <w:sz w:val="28"/>
          <w:szCs w:val="28"/>
        </w:rPr>
        <w:t>Clinical Utility of Ki67 in Early Breast Cancer: We might not be there yet.</w:t>
      </w:r>
    </w:p>
    <w:p w14:paraId="7D76C285" w14:textId="7918FE4A" w:rsidR="00BA2786" w:rsidRDefault="008A2E25" w:rsidP="5F635F40">
      <w:pPr>
        <w:pStyle w:val="NoSpacing"/>
        <w:rPr>
          <w:rFonts w:ascii="Times New Roman" w:eastAsia="Calibri" w:hAnsi="Times New Roman"/>
          <w:sz w:val="24"/>
          <w:szCs w:val="24"/>
        </w:rPr>
      </w:pPr>
      <w:r w:rsidRPr="00446805">
        <w:t>Veronica Shim, Laurel Habel</w:t>
      </w:r>
    </w:p>
    <w:p w14:paraId="1C3D437D" w14:textId="34D2624A" w:rsidR="5F635F40" w:rsidRDefault="5F635F40" w:rsidP="5F635F40">
      <w:pPr>
        <w:pStyle w:val="NoSpacing"/>
      </w:pPr>
    </w:p>
    <w:p w14:paraId="700C3BC0" w14:textId="76088E07" w:rsidR="5F635F40" w:rsidRDefault="5F635F40" w:rsidP="5F635F40">
      <w:pPr>
        <w:pStyle w:val="NoSpacing"/>
      </w:pPr>
    </w:p>
    <w:tbl>
      <w:tblPr>
        <w:tblStyle w:val="TableGrid"/>
        <w:tblpPr w:leftFromText="180" w:rightFromText="180" w:vertAnchor="page" w:horzAnchor="margin" w:tblpY="2581"/>
        <w:tblW w:w="10705" w:type="dxa"/>
        <w:tblLook w:val="04A0" w:firstRow="1" w:lastRow="0" w:firstColumn="1" w:lastColumn="0" w:noHBand="0" w:noVBand="1"/>
      </w:tblPr>
      <w:tblGrid>
        <w:gridCol w:w="1975"/>
        <w:gridCol w:w="8730"/>
      </w:tblGrid>
      <w:tr w:rsidR="008E6D2C" w:rsidRPr="008E6D2C" w14:paraId="307289BF" w14:textId="77777777" w:rsidTr="5F635F40">
        <w:trPr>
          <w:trHeight w:val="816"/>
        </w:trPr>
        <w:tc>
          <w:tcPr>
            <w:tcW w:w="1975" w:type="dxa"/>
          </w:tcPr>
          <w:p w14:paraId="2C7E2D09" w14:textId="77777777" w:rsidR="0048655A" w:rsidRPr="008E6D2C" w:rsidRDefault="0048655A" w:rsidP="0048655A">
            <w:pPr>
              <w:spacing w:line="259" w:lineRule="auto"/>
            </w:pPr>
            <w:bookmarkStart w:id="0" w:name="_Hlk54105970"/>
            <w:r w:rsidRPr="008E6D2C">
              <w:t>Challenge</w:t>
            </w:r>
          </w:p>
        </w:tc>
        <w:tc>
          <w:tcPr>
            <w:tcW w:w="8730" w:type="dxa"/>
          </w:tcPr>
          <w:p w14:paraId="7F9273D4" w14:textId="7A525766" w:rsidR="0048655A" w:rsidRPr="00B70F4B" w:rsidRDefault="002E7BDE" w:rsidP="0048655A">
            <w:pPr>
              <w:spacing w:line="259" w:lineRule="auto"/>
              <w:rPr>
                <w:rFonts w:cstheme="minorHAnsi"/>
                <w:b/>
                <w:bCs/>
              </w:rPr>
            </w:pPr>
            <w:r w:rsidRPr="00DD4EF8">
              <w:rPr>
                <w:rFonts w:cstheme="minorHAnsi"/>
                <w:b/>
              </w:rPr>
              <w:t>There has been significant interest in whether Ki67 IHC alone or together with other IHC markers or clinical factors could be used as a cost-effective surrogate for the Oncotype DX</w:t>
            </w:r>
            <w:r w:rsidR="00E274D8" w:rsidRPr="00DD4EF8">
              <w:rPr>
                <w:rFonts w:cstheme="minorHAnsi"/>
                <w:b/>
              </w:rPr>
              <w:t xml:space="preserve">, a 21-gene assay used to guide treatment in early breast cancer, </w:t>
            </w:r>
            <w:r w:rsidRPr="00DD4EF8">
              <w:rPr>
                <w:rFonts w:cstheme="minorHAnsi"/>
                <w:b/>
              </w:rPr>
              <w:t>or to identify a subset of patients who could avoid this or other multigene tests. However, the potential role for Ki67 immunohistochemistry (IHC) in breast cancer management has remained unclear due largely to its high inter-observer variability and the lack of established cutoff points for clinical decisions</w:t>
            </w:r>
            <w:r w:rsidR="00E274D8" w:rsidRPr="00DD4EF8">
              <w:rPr>
                <w:rFonts w:cstheme="minorHAnsi"/>
                <w:b/>
              </w:rPr>
              <w:t>.</w:t>
            </w:r>
          </w:p>
        </w:tc>
      </w:tr>
      <w:tr w:rsidR="008E6D2C" w:rsidRPr="008E6D2C" w14:paraId="67D435C8" w14:textId="77777777" w:rsidTr="00613E8C">
        <w:trPr>
          <w:trHeight w:val="3080"/>
        </w:trPr>
        <w:tc>
          <w:tcPr>
            <w:tcW w:w="1975" w:type="dxa"/>
          </w:tcPr>
          <w:p w14:paraId="351B366F" w14:textId="77777777" w:rsidR="0048655A" w:rsidRPr="008E6D2C" w:rsidRDefault="0048655A" w:rsidP="0048655A">
            <w:pPr>
              <w:spacing w:line="259" w:lineRule="auto"/>
            </w:pPr>
            <w:r w:rsidRPr="008E6D2C">
              <w:t>Existing Evidence</w:t>
            </w:r>
          </w:p>
        </w:tc>
        <w:tc>
          <w:tcPr>
            <w:tcW w:w="8730" w:type="dxa"/>
            <w:shd w:val="clear" w:color="auto" w:fill="auto"/>
          </w:tcPr>
          <w:p w14:paraId="4E75872A" w14:textId="05261041" w:rsidR="008400BD" w:rsidRPr="00AC4B82" w:rsidRDefault="008400BD" w:rsidP="008400BD">
            <w:pPr>
              <w:rPr>
                <w:rFonts w:cstheme="minorHAnsi"/>
              </w:rPr>
            </w:pPr>
            <w:r w:rsidRPr="00AC4B82">
              <w:rPr>
                <w:rFonts w:cstheme="minorHAnsi"/>
              </w:rPr>
              <w:t>Multiple studies have found that levels of Ki67 (a</w:t>
            </w:r>
            <w:r w:rsidR="00DD4EF8" w:rsidRPr="00AC4B82">
              <w:rPr>
                <w:rFonts w:cstheme="minorHAnsi"/>
              </w:rPr>
              <w:t>n established</w:t>
            </w:r>
            <w:r w:rsidRPr="00AC4B82">
              <w:rPr>
                <w:rFonts w:cstheme="minorHAnsi"/>
              </w:rPr>
              <w:t xml:space="preserve"> marker of proliferation and one of the genes in the 21-gene Oncotype DX assay) measured by immunohistochemistry (IHC) correlate with Oncotype DX scores</w:t>
            </w:r>
            <w:r w:rsidR="00DD4EF8" w:rsidRPr="00AC4B82">
              <w:rPr>
                <w:rFonts w:cstheme="minorHAnsi"/>
              </w:rPr>
              <w:t>.</w:t>
            </w:r>
            <w:r w:rsidRPr="00AC4B82">
              <w:rPr>
                <w:rFonts w:cstheme="minorHAnsi"/>
              </w:rPr>
              <w:t xml:space="preserve"> </w:t>
            </w:r>
            <w:r w:rsidR="00AC4B82">
              <w:rPr>
                <w:rFonts w:cstheme="minorHAnsi"/>
              </w:rPr>
              <w:t>In 2011, t</w:t>
            </w:r>
            <w:r w:rsidR="002E7BDE" w:rsidRPr="00AC4B82">
              <w:rPr>
                <w:rFonts w:cstheme="minorHAnsi"/>
              </w:rPr>
              <w:t>he International Ki67 Working Group (IKWG) developed guidelines</w:t>
            </w:r>
            <w:r w:rsidRPr="00AC4B82">
              <w:rPr>
                <w:rFonts w:cstheme="minorHAnsi"/>
              </w:rPr>
              <w:t xml:space="preserve"> </w:t>
            </w:r>
            <w:r w:rsidR="002E7BDE" w:rsidRPr="00AC4B82">
              <w:rPr>
                <w:rFonts w:cstheme="minorHAnsi"/>
              </w:rPr>
              <w:t>to standardize scoring</w:t>
            </w:r>
            <w:r w:rsidR="00DD4EF8" w:rsidRPr="00AC4B82">
              <w:rPr>
                <w:rFonts w:cstheme="minorHAnsi"/>
              </w:rPr>
              <w:t xml:space="preserve"> and improve reproducibility of visual scoring by pathologists</w:t>
            </w:r>
            <w:r w:rsidR="002E7BDE" w:rsidRPr="00AC4B82">
              <w:rPr>
                <w:rFonts w:cstheme="minorHAnsi"/>
              </w:rPr>
              <w:t xml:space="preserve">. </w:t>
            </w:r>
            <w:r w:rsidR="00AC4B82">
              <w:rPr>
                <w:rFonts w:cstheme="minorHAnsi"/>
              </w:rPr>
              <w:t>In 2021, t</w:t>
            </w:r>
            <w:r w:rsidR="002E7BDE" w:rsidRPr="00AC4B82">
              <w:rPr>
                <w:rFonts w:cstheme="minorHAnsi"/>
              </w:rPr>
              <w:t>he</w:t>
            </w:r>
            <w:r w:rsidR="00DD4EF8" w:rsidRPr="00AC4B82">
              <w:rPr>
                <w:rFonts w:cstheme="minorHAnsi"/>
              </w:rPr>
              <w:t xml:space="preserve"> IKWG</w:t>
            </w:r>
            <w:r w:rsidR="002E7BDE" w:rsidRPr="00AC4B82">
              <w:rPr>
                <w:rFonts w:cstheme="minorHAnsi"/>
              </w:rPr>
              <w:t xml:space="preserve"> also suggested</w:t>
            </w:r>
            <w:r w:rsidR="00DD4EF8" w:rsidRPr="00AC4B82">
              <w:rPr>
                <w:rFonts w:cstheme="minorHAnsi"/>
              </w:rPr>
              <w:t xml:space="preserve"> specific</w:t>
            </w:r>
            <w:r w:rsidR="002E7BDE" w:rsidRPr="00AC4B82">
              <w:rPr>
                <w:rFonts w:cstheme="minorHAnsi"/>
              </w:rPr>
              <w:t xml:space="preserve"> cut points that could be used in treatment decision</w:t>
            </w:r>
            <w:r w:rsidR="00E274D8" w:rsidRPr="00AC4B82">
              <w:rPr>
                <w:rFonts w:cstheme="minorHAnsi"/>
              </w:rPr>
              <w:t>s</w:t>
            </w:r>
            <w:r w:rsidR="00DD4EF8" w:rsidRPr="00AC4B82">
              <w:rPr>
                <w:rFonts w:cstheme="minorHAnsi"/>
              </w:rPr>
              <w:t xml:space="preserve"> for ER+HER</w:t>
            </w:r>
            <w:r w:rsidR="00AC4B82">
              <w:rPr>
                <w:rFonts w:cstheme="minorHAnsi"/>
              </w:rPr>
              <w:t>2</w:t>
            </w:r>
            <w:r w:rsidR="00DD4EF8" w:rsidRPr="00AC4B82">
              <w:rPr>
                <w:rFonts w:cstheme="minorHAnsi"/>
              </w:rPr>
              <w:t>-, node negative breast cancer and that could identify patients who do not need Oncotype DX or other multi-gene tests in some settings</w:t>
            </w:r>
            <w:r w:rsidR="00AC4B82" w:rsidRPr="00AC4B82">
              <w:rPr>
                <w:rFonts w:cstheme="minorHAnsi"/>
              </w:rPr>
              <w:t xml:space="preserve">, such as </w:t>
            </w:r>
            <w:r w:rsidR="00DD4EF8" w:rsidRPr="00AC4B82">
              <w:rPr>
                <w:rFonts w:cstheme="minorHAnsi"/>
              </w:rPr>
              <w:t>when test</w:t>
            </w:r>
            <w:r w:rsidR="00AC4B82">
              <w:rPr>
                <w:rFonts w:cstheme="minorHAnsi"/>
              </w:rPr>
              <w:t>s</w:t>
            </w:r>
            <w:r w:rsidR="00DD4EF8" w:rsidRPr="00AC4B82">
              <w:rPr>
                <w:rFonts w:cstheme="minorHAnsi"/>
              </w:rPr>
              <w:t xml:space="preserve"> </w:t>
            </w:r>
            <w:r w:rsidR="00AC4B82">
              <w:rPr>
                <w:rFonts w:cstheme="minorHAnsi"/>
              </w:rPr>
              <w:t xml:space="preserve">are </w:t>
            </w:r>
            <w:r w:rsidR="00DD4EF8" w:rsidRPr="00AC4B82">
              <w:rPr>
                <w:rFonts w:cstheme="minorHAnsi"/>
              </w:rPr>
              <w:t>unavailable or too expens</w:t>
            </w:r>
            <w:r w:rsidR="00AC4B82" w:rsidRPr="00AC4B82">
              <w:rPr>
                <w:rFonts w:cstheme="minorHAnsi"/>
              </w:rPr>
              <w:t>ive</w:t>
            </w:r>
            <w:r w:rsidR="00E274D8" w:rsidRPr="00AC4B82">
              <w:rPr>
                <w:rFonts w:cstheme="minorHAnsi"/>
              </w:rPr>
              <w:t xml:space="preserve">.  Data are lacking on whether these new IKWG guidelines improve reproducibility of </w:t>
            </w:r>
            <w:r w:rsidR="00AC4B82" w:rsidRPr="00AC4B82">
              <w:rPr>
                <w:rFonts w:cstheme="minorHAnsi"/>
              </w:rPr>
              <w:t xml:space="preserve">visual </w:t>
            </w:r>
            <w:r w:rsidR="00E274D8" w:rsidRPr="00AC4B82">
              <w:rPr>
                <w:rFonts w:cstheme="minorHAnsi"/>
              </w:rPr>
              <w:t xml:space="preserve">scoring in a real world setting or whether the recommended cut points can be used to </w:t>
            </w:r>
            <w:r w:rsidR="00AC4B82">
              <w:rPr>
                <w:rFonts w:cstheme="minorHAnsi"/>
              </w:rPr>
              <w:t xml:space="preserve">accurately </w:t>
            </w:r>
            <w:r w:rsidR="00E274D8" w:rsidRPr="00AC4B82">
              <w:rPr>
                <w:rFonts w:cstheme="minorHAnsi"/>
              </w:rPr>
              <w:t>identify patients who could avoid Oncotype DX or other multi-gene tests.</w:t>
            </w:r>
          </w:p>
          <w:p w14:paraId="70041630" w14:textId="6A54B375" w:rsidR="0048655A" w:rsidRPr="00AC4B82" w:rsidRDefault="0048655A" w:rsidP="0048655A">
            <w:pPr>
              <w:spacing w:line="259" w:lineRule="auto"/>
              <w:rPr>
                <w:rFonts w:cstheme="minorHAnsi"/>
              </w:rPr>
            </w:pPr>
          </w:p>
        </w:tc>
      </w:tr>
      <w:tr w:rsidR="008E6D2C" w:rsidRPr="008E6D2C" w14:paraId="136E6453" w14:textId="77777777" w:rsidTr="5F635F40">
        <w:trPr>
          <w:trHeight w:val="262"/>
        </w:trPr>
        <w:tc>
          <w:tcPr>
            <w:tcW w:w="1975" w:type="dxa"/>
          </w:tcPr>
          <w:p w14:paraId="53202DB8" w14:textId="77777777" w:rsidR="0048655A" w:rsidRPr="008E6D2C" w:rsidRDefault="0048655A" w:rsidP="0048655A">
            <w:pPr>
              <w:spacing w:line="259" w:lineRule="auto"/>
            </w:pPr>
            <w:r w:rsidRPr="008E6D2C">
              <w:t>Target Population</w:t>
            </w:r>
          </w:p>
        </w:tc>
        <w:tc>
          <w:tcPr>
            <w:tcW w:w="8730" w:type="dxa"/>
          </w:tcPr>
          <w:p w14:paraId="1486D38C" w14:textId="2A846E64" w:rsidR="0048655A" w:rsidRPr="00B70F4B" w:rsidRDefault="006522E4" w:rsidP="0048655A">
            <w:pPr>
              <w:spacing w:line="259" w:lineRule="auto"/>
              <w:rPr>
                <w:rFonts w:cstheme="minorHAnsi"/>
              </w:rPr>
            </w:pPr>
            <w:r w:rsidRPr="00B70F4B">
              <w:rPr>
                <w:rFonts w:cstheme="minorHAnsi"/>
              </w:rPr>
              <w:t>Women with early, low risk breast cancer eligible for Oncotype DX testing</w:t>
            </w:r>
            <w:r w:rsidR="00AC4B82">
              <w:rPr>
                <w:rFonts w:cstheme="minorHAnsi"/>
              </w:rPr>
              <w:t xml:space="preserve"> (</w:t>
            </w:r>
            <w:proofErr w:type="spellStart"/>
            <w:r w:rsidR="00AC4B82">
              <w:rPr>
                <w:rFonts w:cstheme="minorHAnsi"/>
              </w:rPr>
              <w:t>ie</w:t>
            </w:r>
            <w:proofErr w:type="spellEnd"/>
            <w:r w:rsidR="00AC4B82">
              <w:rPr>
                <w:rFonts w:cstheme="minorHAnsi"/>
              </w:rPr>
              <w:t xml:space="preserve">, </w:t>
            </w:r>
            <w:r w:rsidR="0087587B">
              <w:rPr>
                <w:rFonts w:cstheme="minorHAnsi"/>
              </w:rPr>
              <w:t xml:space="preserve">women aged 50+ years with </w:t>
            </w:r>
            <w:r w:rsidR="00AC4B82">
              <w:rPr>
                <w:rFonts w:cstheme="minorHAnsi"/>
              </w:rPr>
              <w:t>ER+, HER2-, lymph-node negative</w:t>
            </w:r>
            <w:r w:rsidR="0087587B">
              <w:rPr>
                <w:rFonts w:cstheme="minorHAnsi"/>
              </w:rPr>
              <w:t xml:space="preserve"> disease</w:t>
            </w:r>
            <w:r w:rsidR="00AC4B82">
              <w:rPr>
                <w:rFonts w:cstheme="minorHAnsi"/>
              </w:rPr>
              <w:t>).</w:t>
            </w:r>
          </w:p>
        </w:tc>
      </w:tr>
      <w:tr w:rsidR="008E6D2C" w:rsidRPr="008E6D2C" w14:paraId="5B80BED5" w14:textId="77777777" w:rsidTr="00613E8C">
        <w:trPr>
          <w:trHeight w:val="497"/>
        </w:trPr>
        <w:tc>
          <w:tcPr>
            <w:tcW w:w="1975" w:type="dxa"/>
          </w:tcPr>
          <w:p w14:paraId="0D0B7C0D" w14:textId="77777777" w:rsidR="0048655A" w:rsidRPr="008E6D2C" w:rsidRDefault="0048655A" w:rsidP="0048655A">
            <w:pPr>
              <w:spacing w:line="259" w:lineRule="auto"/>
            </w:pPr>
            <w:r w:rsidRPr="008E6D2C">
              <w:t>Intervention or Exposure</w:t>
            </w:r>
          </w:p>
        </w:tc>
        <w:tc>
          <w:tcPr>
            <w:tcW w:w="8730" w:type="dxa"/>
          </w:tcPr>
          <w:p w14:paraId="2EA60E17" w14:textId="27CB15BB" w:rsidR="0048655A" w:rsidRPr="00B70F4B" w:rsidRDefault="1256C8E6" w:rsidP="5F635F40">
            <w:pPr>
              <w:spacing w:line="259" w:lineRule="auto"/>
            </w:pPr>
            <w:r w:rsidRPr="5F635F40">
              <w:t>Testing breast biopsy tissue for Ki67 by immunohistochemistry (IHC)</w:t>
            </w:r>
            <w:r w:rsidR="596984DE" w:rsidRPr="5F635F40">
              <w:t>.  Scoring of IHC following IKWG recommendations by immunopathologists and by image analysis (</w:t>
            </w:r>
            <w:proofErr w:type="spellStart"/>
            <w:r w:rsidR="596984DE" w:rsidRPr="5F635F40">
              <w:t>NeoGenomics</w:t>
            </w:r>
            <w:proofErr w:type="spellEnd"/>
            <w:r w:rsidR="596984DE" w:rsidRPr="5F635F40">
              <w:t>, Inc).</w:t>
            </w:r>
          </w:p>
          <w:p w14:paraId="0CA2C589" w14:textId="54DC9DFE" w:rsidR="008400BD" w:rsidRPr="00B70F4B" w:rsidRDefault="008400BD" w:rsidP="0048655A">
            <w:pPr>
              <w:spacing w:line="259" w:lineRule="auto"/>
              <w:rPr>
                <w:rFonts w:cstheme="minorHAnsi"/>
              </w:rPr>
            </w:pPr>
          </w:p>
        </w:tc>
      </w:tr>
      <w:tr w:rsidR="008E6D2C" w:rsidRPr="008E6D2C" w14:paraId="13978FD3" w14:textId="77777777" w:rsidTr="5F635F40">
        <w:trPr>
          <w:trHeight w:val="2282"/>
        </w:trPr>
        <w:tc>
          <w:tcPr>
            <w:tcW w:w="1975" w:type="dxa"/>
          </w:tcPr>
          <w:p w14:paraId="7525D5B4" w14:textId="77777777" w:rsidR="0048655A" w:rsidRPr="008E6D2C" w:rsidRDefault="0048655A" w:rsidP="0048655A">
            <w:pPr>
              <w:spacing w:line="259" w:lineRule="auto"/>
              <w:rPr>
                <w:b/>
                <w:bCs/>
              </w:rPr>
            </w:pPr>
            <w:r w:rsidRPr="008E6D2C">
              <w:rPr>
                <w:b/>
                <w:bCs/>
              </w:rPr>
              <w:t>Outcomes/Key Findings</w:t>
            </w:r>
          </w:p>
        </w:tc>
        <w:tc>
          <w:tcPr>
            <w:tcW w:w="8730" w:type="dxa"/>
          </w:tcPr>
          <w:p w14:paraId="1A78339E" w14:textId="0B7A4E90" w:rsidR="0048655A" w:rsidRPr="00813852" w:rsidRDefault="4648302D" w:rsidP="00446805">
            <w:pPr>
              <w:rPr>
                <w:rFonts w:ascii="Calibri" w:hAnsi="Calibri" w:cs="Calibri"/>
              </w:rPr>
            </w:pPr>
            <w:r w:rsidRPr="5F635F40">
              <w:rPr>
                <w:rFonts w:ascii="Calibri" w:hAnsi="Calibri" w:cs="Calibri"/>
              </w:rPr>
              <w:t>In our study population of low-risk breast cancer patients</w:t>
            </w:r>
            <w:r w:rsidRPr="5F635F40">
              <w:rPr>
                <w:rFonts w:ascii="Calibri" w:hAnsi="Calibri" w:cs="Calibri"/>
                <w:b/>
                <w:bCs/>
              </w:rPr>
              <w:t>, Ki67 did not appear to provide additional information beyond tumor grade.</w:t>
            </w:r>
            <w:r w:rsidRPr="5F635F40">
              <w:rPr>
                <w:rFonts w:ascii="Calibri" w:hAnsi="Calibri" w:cs="Calibri"/>
              </w:rPr>
              <w:t xml:space="preserve">  </w:t>
            </w:r>
            <w:r w:rsidR="1F121BE3" w:rsidRPr="5F635F40">
              <w:rPr>
                <w:rFonts w:ascii="Calibri" w:hAnsi="Calibri" w:cs="Calibri"/>
              </w:rPr>
              <w:t>L</w:t>
            </w:r>
            <w:r w:rsidRPr="5F635F40">
              <w:rPr>
                <w:rFonts w:ascii="Calibri" w:hAnsi="Calibri" w:cs="Calibri"/>
              </w:rPr>
              <w:t>ow grade appeared to be more strongly correlated with low RS than Ki67; however, accessing tumor grade ha</w:t>
            </w:r>
            <w:r w:rsidR="63E1786A" w:rsidRPr="5F635F40">
              <w:rPr>
                <w:rFonts w:ascii="Calibri" w:hAnsi="Calibri" w:cs="Calibri"/>
              </w:rPr>
              <w:t>s</w:t>
            </w:r>
            <w:r w:rsidRPr="5F635F40">
              <w:rPr>
                <w:rFonts w:ascii="Calibri" w:hAnsi="Calibri" w:cs="Calibri"/>
              </w:rPr>
              <w:t xml:space="preserve"> reproducibility problems.</w:t>
            </w:r>
            <w:r w:rsidR="63E1786A" w:rsidRPr="5F635F40">
              <w:rPr>
                <w:rFonts w:ascii="Calibri" w:hAnsi="Calibri" w:cs="Calibri"/>
              </w:rPr>
              <w:t xml:space="preserve">  </w:t>
            </w:r>
            <w:r w:rsidR="596984DE" w:rsidRPr="5F635F40">
              <w:rPr>
                <w:rFonts w:ascii="Calibri" w:hAnsi="Calibri" w:cs="Calibri"/>
              </w:rPr>
              <w:t xml:space="preserve">The IKWG’s Ki67 training resulted in moderate to strong reproducibility across readers but cut points had only moderate overlap with </w:t>
            </w:r>
            <w:r w:rsidR="709F4C40" w:rsidRPr="5F635F40">
              <w:rPr>
                <w:rFonts w:ascii="Calibri" w:hAnsi="Calibri" w:cs="Calibri"/>
              </w:rPr>
              <w:t>Oncotype DX</w:t>
            </w:r>
            <w:r w:rsidR="596984DE" w:rsidRPr="5F635F40">
              <w:rPr>
                <w:rFonts w:ascii="Calibri" w:hAnsi="Calibri" w:cs="Calibri"/>
              </w:rPr>
              <w:t xml:space="preserve"> cut points, especially for Ki67 </w:t>
            </w:r>
            <w:r w:rsidR="596984DE" w:rsidRPr="5F635F40">
              <w:rPr>
                <w:rFonts w:ascii="Calibri" w:hAnsi="Calibri" w:cs="Calibri"/>
                <w:u w:val="single"/>
              </w:rPr>
              <w:t>&gt;</w:t>
            </w:r>
            <w:r w:rsidR="596984DE" w:rsidRPr="5F635F40">
              <w:rPr>
                <w:rFonts w:ascii="Calibri" w:hAnsi="Calibri" w:cs="Calibri"/>
              </w:rPr>
              <w:t>30% and RS</w:t>
            </w:r>
            <w:r w:rsidR="596984DE" w:rsidRPr="5F635F40">
              <w:rPr>
                <w:rFonts w:ascii="Calibri" w:hAnsi="Calibri" w:cs="Calibri"/>
                <w:u w:val="single"/>
              </w:rPr>
              <w:t>&gt;</w:t>
            </w:r>
            <w:r w:rsidR="596984DE" w:rsidRPr="5F635F40">
              <w:rPr>
                <w:rFonts w:ascii="Calibri" w:hAnsi="Calibri" w:cs="Calibri"/>
              </w:rPr>
              <w:t xml:space="preserve">26; thus, their clinical utility for a </w:t>
            </w:r>
            <w:r w:rsidR="709F4C40" w:rsidRPr="5F635F40">
              <w:rPr>
                <w:rFonts w:ascii="Calibri" w:hAnsi="Calibri" w:cs="Calibri"/>
              </w:rPr>
              <w:t>Oncotype DX</w:t>
            </w:r>
            <w:r w:rsidR="596984DE" w:rsidRPr="5F635F40">
              <w:rPr>
                <w:rFonts w:ascii="Calibri" w:hAnsi="Calibri" w:cs="Calibri"/>
              </w:rPr>
              <w:t xml:space="preserve"> testing pathway remains unclear.    </w:t>
            </w:r>
          </w:p>
          <w:p w14:paraId="5B37D77B" w14:textId="343D41D6" w:rsidR="00AD6F6F" w:rsidRPr="00813852" w:rsidRDefault="18BD5F4A" w:rsidP="5F635F40">
            <w:pPr>
              <w:rPr>
                <w:rFonts w:ascii="Calibri" w:hAnsi="Calibri" w:cs="Calibri"/>
              </w:rPr>
            </w:pPr>
            <w:r w:rsidRPr="5F635F40">
              <w:rPr>
                <w:rFonts w:ascii="Calibri" w:hAnsi="Calibri" w:cs="Calibri"/>
              </w:rPr>
              <w:t xml:space="preserve">Following the guidelines for Ki67 reading was time consuming for </w:t>
            </w:r>
            <w:r w:rsidR="046561E1" w:rsidRPr="5F635F40">
              <w:rPr>
                <w:rFonts w:ascii="Calibri" w:hAnsi="Calibri" w:cs="Calibri"/>
              </w:rPr>
              <w:t>imm</w:t>
            </w:r>
            <w:r w:rsidR="6CF49913" w:rsidRPr="5F635F40">
              <w:rPr>
                <w:rFonts w:ascii="Calibri" w:hAnsi="Calibri" w:cs="Calibri"/>
              </w:rPr>
              <w:t>u</w:t>
            </w:r>
            <w:r w:rsidR="046561E1" w:rsidRPr="00446805">
              <w:rPr>
                <w:rFonts w:ascii="Calibri" w:hAnsi="Calibri" w:cs="Calibri"/>
              </w:rPr>
              <w:t>no</w:t>
            </w:r>
            <w:r w:rsidRPr="00446805">
              <w:rPr>
                <w:rFonts w:ascii="Calibri" w:hAnsi="Calibri" w:cs="Calibri"/>
              </w:rPr>
              <w:t>pathologists</w:t>
            </w:r>
            <w:r w:rsidR="396A60F7" w:rsidRPr="00446805">
              <w:rPr>
                <w:rFonts w:ascii="Calibri" w:hAnsi="Calibri" w:cs="Calibri"/>
              </w:rPr>
              <w:t xml:space="preserve"> and infeasib</w:t>
            </w:r>
            <w:r w:rsidR="5AE88318" w:rsidRPr="00446805">
              <w:rPr>
                <w:rFonts w:ascii="Calibri" w:hAnsi="Calibri" w:cs="Calibri"/>
              </w:rPr>
              <w:t>le for</w:t>
            </w:r>
            <w:r w:rsidR="396A60F7" w:rsidRPr="00446805">
              <w:rPr>
                <w:rFonts w:ascii="Calibri" w:hAnsi="Calibri" w:cs="Calibri"/>
              </w:rPr>
              <w:t xml:space="preserve"> incorporat</w:t>
            </w:r>
            <w:r w:rsidR="5AE88318" w:rsidRPr="00446805">
              <w:rPr>
                <w:rFonts w:ascii="Calibri" w:hAnsi="Calibri" w:cs="Calibri"/>
              </w:rPr>
              <w:t>ion into the IHC testing panel</w:t>
            </w:r>
            <w:r w:rsidR="7D4B360B" w:rsidRPr="5F635F40">
              <w:rPr>
                <w:rFonts w:ascii="Calibri" w:hAnsi="Calibri" w:cs="Calibri"/>
              </w:rPr>
              <w:t xml:space="preserve"> for al</w:t>
            </w:r>
            <w:r w:rsidR="396A60F7" w:rsidRPr="5F635F40">
              <w:rPr>
                <w:rFonts w:ascii="Calibri" w:hAnsi="Calibri" w:cs="Calibri"/>
              </w:rPr>
              <w:t xml:space="preserve">l </w:t>
            </w:r>
            <w:r w:rsidR="5AE88318" w:rsidRPr="5F635F40">
              <w:rPr>
                <w:rFonts w:ascii="Calibri" w:hAnsi="Calibri" w:cs="Calibri"/>
              </w:rPr>
              <w:t>breast cancer patients</w:t>
            </w:r>
            <w:r w:rsidRPr="5F635F40">
              <w:rPr>
                <w:rFonts w:ascii="Calibri" w:hAnsi="Calibri" w:cs="Calibri"/>
              </w:rPr>
              <w:t>.</w:t>
            </w:r>
          </w:p>
          <w:p w14:paraId="3CD35CB0" w14:textId="6C55ADAF" w:rsidR="00AD6F6F" w:rsidRPr="00813852" w:rsidRDefault="00AD6F6F" w:rsidP="5F635F40"/>
        </w:tc>
      </w:tr>
      <w:tr w:rsidR="008E6D2C" w:rsidRPr="008E6D2C" w14:paraId="62542513" w14:textId="77777777" w:rsidTr="5F635F40">
        <w:trPr>
          <w:trHeight w:val="816"/>
        </w:trPr>
        <w:tc>
          <w:tcPr>
            <w:tcW w:w="1975" w:type="dxa"/>
          </w:tcPr>
          <w:p w14:paraId="38755ADC" w14:textId="77777777" w:rsidR="0048655A" w:rsidRPr="008E6D2C" w:rsidRDefault="0048655A" w:rsidP="0048655A">
            <w:pPr>
              <w:spacing w:line="259" w:lineRule="auto"/>
              <w:rPr>
                <w:b/>
                <w:bCs/>
              </w:rPr>
            </w:pPr>
            <w:r w:rsidRPr="008E6D2C">
              <w:rPr>
                <w:b/>
                <w:bCs/>
              </w:rPr>
              <w:t>Resulting Action/Change</w:t>
            </w:r>
          </w:p>
        </w:tc>
        <w:tc>
          <w:tcPr>
            <w:tcW w:w="8730" w:type="dxa"/>
          </w:tcPr>
          <w:p w14:paraId="092B6F29" w14:textId="35062CEF" w:rsidR="00A82685" w:rsidRPr="00E15BFF" w:rsidRDefault="60CCECCC" w:rsidP="5F635F40">
            <w:pPr>
              <w:rPr>
                <w:sz w:val="20"/>
                <w:szCs w:val="20"/>
              </w:rPr>
            </w:pPr>
            <w:r w:rsidRPr="5F635F40">
              <w:t xml:space="preserve">Ki67 IHC is not ready to be incorporated into </w:t>
            </w:r>
            <w:r w:rsidR="68777F37" w:rsidRPr="5F635F40">
              <w:t xml:space="preserve">an Oncotype DX testing pathway </w:t>
            </w:r>
            <w:r w:rsidRPr="5F635F40">
              <w:t>among women with early, low-risk</w:t>
            </w:r>
            <w:r w:rsidR="2DD89CC7" w:rsidRPr="5F635F40">
              <w:t>, hormone-receptor positive</w:t>
            </w:r>
            <w:r w:rsidRPr="5F635F40">
              <w:t xml:space="preserve"> breast cancer.</w:t>
            </w:r>
            <w:r w:rsidR="12DAFB08" w:rsidRPr="5F635F40">
              <w:t xml:space="preserve">  </w:t>
            </w:r>
            <w:r w:rsidR="5AE88318" w:rsidRPr="5F635F40">
              <w:t xml:space="preserve">Visual </w:t>
            </w:r>
            <w:r w:rsidR="59CBA726" w:rsidRPr="5F635F40">
              <w:t xml:space="preserve">IHC scoring </w:t>
            </w:r>
            <w:r w:rsidR="5AE88318" w:rsidRPr="5F635F40">
              <w:t xml:space="preserve">by KPNC immunopathologists following IKWG guidelines was much more time consuming than </w:t>
            </w:r>
            <w:r w:rsidR="046561E1" w:rsidRPr="5F635F40">
              <w:t xml:space="preserve">the current </w:t>
            </w:r>
            <w:r w:rsidR="5AE88318" w:rsidRPr="5F635F40">
              <w:t xml:space="preserve">scoring </w:t>
            </w:r>
            <w:r w:rsidR="046561E1" w:rsidRPr="5F635F40">
              <w:t>process for</w:t>
            </w:r>
            <w:r w:rsidR="5AE88318" w:rsidRPr="5F635F40">
              <w:t xml:space="preserve"> other IHC markers.  </w:t>
            </w:r>
            <w:r w:rsidR="44AFF8A6" w:rsidRPr="5F635F40">
              <w:t>Use of image analysis for Ki67 could potentially substantially reduce pathologist time, while also providing good reproducibility.</w:t>
            </w:r>
          </w:p>
        </w:tc>
      </w:tr>
      <w:tr w:rsidR="008E6D2C" w:rsidRPr="008E6D2C" w14:paraId="57800790" w14:textId="77777777" w:rsidTr="5F635F40">
        <w:trPr>
          <w:trHeight w:val="816"/>
        </w:trPr>
        <w:tc>
          <w:tcPr>
            <w:tcW w:w="1975" w:type="dxa"/>
          </w:tcPr>
          <w:p w14:paraId="6C4E04AC" w14:textId="161310DB" w:rsidR="00CB0455" w:rsidRPr="008E6D2C" w:rsidRDefault="00CB0455" w:rsidP="0048655A">
            <w:r w:rsidRPr="00416B17">
              <w:t>Additional Recommendations</w:t>
            </w:r>
          </w:p>
        </w:tc>
        <w:tc>
          <w:tcPr>
            <w:tcW w:w="8730" w:type="dxa"/>
          </w:tcPr>
          <w:p w14:paraId="08531901" w14:textId="45FA2B18" w:rsidR="00CB0455" w:rsidRPr="00446805" w:rsidRDefault="59CBA726" w:rsidP="00446805">
            <w:pPr>
              <w:rPr>
                <w:rFonts w:cstheme="minorHAnsi"/>
              </w:rPr>
            </w:pPr>
            <w:r w:rsidRPr="00446805">
              <w:t>Exploration of using image analysis in the regional lab</w:t>
            </w:r>
            <w:r w:rsidR="44AFF8A6" w:rsidRPr="00446805">
              <w:t>.</w:t>
            </w:r>
          </w:p>
          <w:p w14:paraId="08163871" w14:textId="0C62CAEC" w:rsidR="00AD6F6F" w:rsidRPr="00446805" w:rsidRDefault="18BD5F4A" w:rsidP="00446805">
            <w:pPr>
              <w:rPr>
                <w:rFonts w:cstheme="minorHAnsi"/>
                <w:sz w:val="20"/>
                <w:szCs w:val="20"/>
              </w:rPr>
            </w:pPr>
            <w:r w:rsidRPr="00446805">
              <w:t xml:space="preserve">Evaluation of the correlation between grade </w:t>
            </w:r>
            <w:r w:rsidR="44AFF8A6" w:rsidRPr="00446805">
              <w:t xml:space="preserve">and other markers or clinical factors </w:t>
            </w:r>
            <w:r w:rsidRPr="00446805">
              <w:t xml:space="preserve">and </w:t>
            </w:r>
            <w:r w:rsidR="046561E1" w:rsidRPr="00446805">
              <w:t>Oncotype DX</w:t>
            </w:r>
            <w:r w:rsidRPr="00446805">
              <w:t xml:space="preserve"> in ER+HER2- breast cancer</w:t>
            </w:r>
            <w:r w:rsidR="44AFF8A6" w:rsidRPr="00446805">
              <w:t>.</w:t>
            </w:r>
          </w:p>
        </w:tc>
      </w:tr>
      <w:tr w:rsidR="008E6D2C" w:rsidRPr="008E6D2C" w14:paraId="21F6FB6D" w14:textId="77777777" w:rsidTr="5F635F40">
        <w:trPr>
          <w:trHeight w:val="552"/>
        </w:trPr>
        <w:tc>
          <w:tcPr>
            <w:tcW w:w="1975" w:type="dxa"/>
          </w:tcPr>
          <w:p w14:paraId="511F380C" w14:textId="77777777" w:rsidR="0048655A" w:rsidRPr="008E6D2C" w:rsidRDefault="0048655A" w:rsidP="0048655A">
            <w:pPr>
              <w:spacing w:line="259" w:lineRule="auto"/>
            </w:pPr>
            <w:r w:rsidRPr="008E6D2C">
              <w:t>Implementation Tools</w:t>
            </w:r>
            <w:r w:rsidRPr="008E6D2C">
              <w:tab/>
            </w:r>
          </w:p>
        </w:tc>
        <w:tc>
          <w:tcPr>
            <w:tcW w:w="8730" w:type="dxa"/>
          </w:tcPr>
          <w:p w14:paraId="35B5FEA6" w14:textId="1E2CF468" w:rsidR="0048655A" w:rsidRPr="00B70F4B" w:rsidRDefault="00F36215" w:rsidP="0048655A">
            <w:pPr>
              <w:spacing w:line="259" w:lineRule="auto"/>
              <w:rPr>
                <w:rFonts w:cstheme="minorHAnsi"/>
              </w:rPr>
            </w:pPr>
            <w:r w:rsidRPr="00B70F4B">
              <w:rPr>
                <w:rFonts w:cstheme="minorHAnsi"/>
              </w:rPr>
              <w:t>NA</w:t>
            </w:r>
          </w:p>
        </w:tc>
      </w:tr>
      <w:tr w:rsidR="008E6D2C" w:rsidRPr="008E6D2C" w14:paraId="02D4678D" w14:textId="77777777" w:rsidTr="00613E8C">
        <w:trPr>
          <w:trHeight w:val="350"/>
        </w:trPr>
        <w:tc>
          <w:tcPr>
            <w:tcW w:w="1975" w:type="dxa"/>
          </w:tcPr>
          <w:p w14:paraId="1B184543" w14:textId="77777777" w:rsidR="0048655A" w:rsidRPr="008E6D2C" w:rsidRDefault="0048655A" w:rsidP="0048655A">
            <w:pPr>
              <w:spacing w:line="259" w:lineRule="auto"/>
            </w:pPr>
            <w:r w:rsidRPr="008E6D2C">
              <w:lastRenderedPageBreak/>
              <w:t>Implementation Measurement</w:t>
            </w:r>
          </w:p>
        </w:tc>
        <w:tc>
          <w:tcPr>
            <w:tcW w:w="8730" w:type="dxa"/>
          </w:tcPr>
          <w:p w14:paraId="0D25EBD1" w14:textId="012A6DDB" w:rsidR="0048655A" w:rsidRPr="00B70F4B" w:rsidRDefault="00F36215" w:rsidP="0048655A">
            <w:pPr>
              <w:spacing w:line="259" w:lineRule="auto"/>
              <w:rPr>
                <w:rFonts w:cstheme="minorHAnsi"/>
              </w:rPr>
            </w:pPr>
            <w:r w:rsidRPr="00B70F4B">
              <w:rPr>
                <w:rFonts w:cstheme="minorHAnsi"/>
              </w:rPr>
              <w:t>NA</w:t>
            </w:r>
          </w:p>
        </w:tc>
      </w:tr>
      <w:tr w:rsidR="008E6D2C" w:rsidRPr="008E6D2C" w14:paraId="66558595" w14:textId="77777777" w:rsidTr="00613E8C">
        <w:trPr>
          <w:trHeight w:val="1118"/>
        </w:trPr>
        <w:tc>
          <w:tcPr>
            <w:tcW w:w="1975" w:type="dxa"/>
          </w:tcPr>
          <w:p w14:paraId="29954FA9" w14:textId="77777777" w:rsidR="0048655A" w:rsidRPr="008E6D2C" w:rsidRDefault="0048655A" w:rsidP="0048655A">
            <w:pPr>
              <w:spacing w:line="259" w:lineRule="auto"/>
            </w:pPr>
            <w:r w:rsidRPr="008E6D2C">
              <w:t>Reference</w:t>
            </w:r>
          </w:p>
        </w:tc>
        <w:tc>
          <w:tcPr>
            <w:tcW w:w="8730" w:type="dxa"/>
          </w:tcPr>
          <w:p w14:paraId="194601DD" w14:textId="77777777" w:rsidR="00EA2DF4" w:rsidRPr="000220B8" w:rsidRDefault="5443D280" w:rsidP="5F635F40">
            <w:r w:rsidRPr="5F635F40">
              <w:t xml:space="preserve">Shim VC, Baker RJ, Jin W, Puentes R, Agersborg SS, Lee TK, </w:t>
            </w:r>
            <w:proofErr w:type="spellStart"/>
            <w:r w:rsidRPr="5F635F40">
              <w:t>Goreal</w:t>
            </w:r>
            <w:proofErr w:type="spellEnd"/>
            <w:r w:rsidRPr="5F635F40">
              <w:t xml:space="preserve"> W, Achacoso N, Lee C, Villasenor M, Lin A, Kapali M, Habel LA. International Ki67 Working Group training and cut point recommendations for early breast cancer: Comparison with 21-gene assay results in a Large Integrated Health Care System. Submitted to Breast Cancer Research and Treatment.</w:t>
            </w:r>
          </w:p>
          <w:p w14:paraId="722DE921" w14:textId="27C83DB9" w:rsidR="0048655A" w:rsidRPr="00B70F4B" w:rsidRDefault="0048655A" w:rsidP="5F635F40">
            <w:pPr>
              <w:spacing w:line="259" w:lineRule="auto"/>
            </w:pPr>
          </w:p>
        </w:tc>
      </w:tr>
      <w:bookmarkEnd w:id="0"/>
    </w:tbl>
    <w:p w14:paraId="4C2F95C0" w14:textId="1FFE1EA8" w:rsidR="5F635F40" w:rsidRDefault="5F635F40"/>
    <w:p w14:paraId="3897D660" w14:textId="6A92EC48" w:rsidR="5F635F40" w:rsidRDefault="5F635F40"/>
    <w:p w14:paraId="568D31F6" w14:textId="272996FF" w:rsidR="5F635F40" w:rsidRDefault="5F635F40"/>
    <w:p w14:paraId="159589F2" w14:textId="70ED7F9D" w:rsidR="5F635F40" w:rsidRDefault="5F635F40"/>
    <w:p w14:paraId="62800767" w14:textId="77777777" w:rsidR="00FE6194" w:rsidRDefault="00FE6194" w:rsidP="00C73A94">
      <w:pPr>
        <w:spacing w:after="0"/>
      </w:pPr>
    </w:p>
    <w:sectPr w:rsidR="00FE6194" w:rsidSect="00D24534">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DA121" w14:textId="77777777" w:rsidR="00695B10" w:rsidRDefault="00695B10" w:rsidP="000B1A07">
      <w:pPr>
        <w:spacing w:after="0" w:line="240" w:lineRule="auto"/>
      </w:pPr>
      <w:r>
        <w:separator/>
      </w:r>
    </w:p>
  </w:endnote>
  <w:endnote w:type="continuationSeparator" w:id="0">
    <w:p w14:paraId="10077E9F" w14:textId="77777777" w:rsidR="00695B10" w:rsidRDefault="00695B10" w:rsidP="000B1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F7B3A" w14:textId="77777777" w:rsidR="00695B10" w:rsidRDefault="00695B10" w:rsidP="000B1A07">
      <w:pPr>
        <w:spacing w:after="0" w:line="240" w:lineRule="auto"/>
      </w:pPr>
      <w:r>
        <w:separator/>
      </w:r>
    </w:p>
  </w:footnote>
  <w:footnote w:type="continuationSeparator" w:id="0">
    <w:p w14:paraId="1FC21F79" w14:textId="77777777" w:rsidR="00695B10" w:rsidRDefault="00695B10" w:rsidP="000B1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72D9C" w14:textId="30958084" w:rsidR="007A6DD7" w:rsidRPr="00446805" w:rsidRDefault="007A6DD7" w:rsidP="00446805">
    <w:pPr>
      <w:rPr>
        <w:sz w:val="16"/>
        <w:szCs w:val="16"/>
      </w:rPr>
    </w:pPr>
    <w:r w:rsidRPr="00446805">
      <w:rPr>
        <w:rFonts w:ascii="Calibri" w:eastAsia="Calibri" w:hAnsi="Calibri" w:cs="Calibri"/>
        <w:sz w:val="20"/>
        <w:szCs w:val="20"/>
      </w:rPr>
      <w:t>Delivery Science Grants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3E12"/>
    <w:multiLevelType w:val="hybridMultilevel"/>
    <w:tmpl w:val="A8845964"/>
    <w:lvl w:ilvl="0" w:tplc="E7C03C1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C4216B"/>
    <w:multiLevelType w:val="hybridMultilevel"/>
    <w:tmpl w:val="6C765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408E9"/>
    <w:multiLevelType w:val="hybridMultilevel"/>
    <w:tmpl w:val="68B8FC9C"/>
    <w:lvl w:ilvl="0" w:tplc="FFFFFFFF">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7659F7"/>
    <w:multiLevelType w:val="hybridMultilevel"/>
    <w:tmpl w:val="BF942D96"/>
    <w:lvl w:ilvl="0" w:tplc="FFFFFFFF">
      <w:numFmt w:val="bullet"/>
      <w:lvlText w:val="•"/>
      <w:lvlJc w:val="left"/>
      <w:pPr>
        <w:ind w:left="810" w:hanging="360"/>
      </w:pPr>
      <w:rPr>
        <w:rFonts w:ascii="Arial" w:hAnsi="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264AA344"/>
    <w:multiLevelType w:val="hybridMultilevel"/>
    <w:tmpl w:val="E200A1FE"/>
    <w:lvl w:ilvl="0" w:tplc="26782FBE">
      <w:numFmt w:val="bullet"/>
      <w:lvlText w:val="•"/>
      <w:lvlJc w:val="left"/>
      <w:pPr>
        <w:ind w:left="810" w:hanging="360"/>
      </w:pPr>
      <w:rPr>
        <w:rFonts w:ascii="Arial" w:hAnsi="Arial" w:hint="default"/>
      </w:rPr>
    </w:lvl>
    <w:lvl w:ilvl="1" w:tplc="0F686F12">
      <w:start w:val="1"/>
      <w:numFmt w:val="bullet"/>
      <w:lvlText w:val="o"/>
      <w:lvlJc w:val="left"/>
      <w:pPr>
        <w:ind w:left="1440" w:hanging="360"/>
      </w:pPr>
      <w:rPr>
        <w:rFonts w:ascii="Courier New" w:hAnsi="Courier New" w:hint="default"/>
      </w:rPr>
    </w:lvl>
    <w:lvl w:ilvl="2" w:tplc="73E21750">
      <w:start w:val="1"/>
      <w:numFmt w:val="bullet"/>
      <w:lvlText w:val=""/>
      <w:lvlJc w:val="left"/>
      <w:pPr>
        <w:ind w:left="2160" w:hanging="360"/>
      </w:pPr>
      <w:rPr>
        <w:rFonts w:ascii="Wingdings" w:hAnsi="Wingdings" w:hint="default"/>
      </w:rPr>
    </w:lvl>
    <w:lvl w:ilvl="3" w:tplc="A6BC1A0C">
      <w:start w:val="1"/>
      <w:numFmt w:val="bullet"/>
      <w:lvlText w:val=""/>
      <w:lvlJc w:val="left"/>
      <w:pPr>
        <w:ind w:left="2880" w:hanging="360"/>
      </w:pPr>
      <w:rPr>
        <w:rFonts w:ascii="Symbol" w:hAnsi="Symbol" w:hint="default"/>
      </w:rPr>
    </w:lvl>
    <w:lvl w:ilvl="4" w:tplc="862CEBAE">
      <w:start w:val="1"/>
      <w:numFmt w:val="bullet"/>
      <w:lvlText w:val="o"/>
      <w:lvlJc w:val="left"/>
      <w:pPr>
        <w:ind w:left="3600" w:hanging="360"/>
      </w:pPr>
      <w:rPr>
        <w:rFonts w:ascii="Courier New" w:hAnsi="Courier New" w:hint="default"/>
      </w:rPr>
    </w:lvl>
    <w:lvl w:ilvl="5" w:tplc="09D23A86">
      <w:start w:val="1"/>
      <w:numFmt w:val="bullet"/>
      <w:lvlText w:val=""/>
      <w:lvlJc w:val="left"/>
      <w:pPr>
        <w:ind w:left="4320" w:hanging="360"/>
      </w:pPr>
      <w:rPr>
        <w:rFonts w:ascii="Wingdings" w:hAnsi="Wingdings" w:hint="default"/>
      </w:rPr>
    </w:lvl>
    <w:lvl w:ilvl="6" w:tplc="8BFEF46E">
      <w:start w:val="1"/>
      <w:numFmt w:val="bullet"/>
      <w:lvlText w:val=""/>
      <w:lvlJc w:val="left"/>
      <w:pPr>
        <w:ind w:left="5040" w:hanging="360"/>
      </w:pPr>
      <w:rPr>
        <w:rFonts w:ascii="Symbol" w:hAnsi="Symbol" w:hint="default"/>
      </w:rPr>
    </w:lvl>
    <w:lvl w:ilvl="7" w:tplc="B528334C">
      <w:start w:val="1"/>
      <w:numFmt w:val="bullet"/>
      <w:lvlText w:val="o"/>
      <w:lvlJc w:val="left"/>
      <w:pPr>
        <w:ind w:left="5760" w:hanging="360"/>
      </w:pPr>
      <w:rPr>
        <w:rFonts w:ascii="Courier New" w:hAnsi="Courier New" w:hint="default"/>
      </w:rPr>
    </w:lvl>
    <w:lvl w:ilvl="8" w:tplc="7034010C">
      <w:start w:val="1"/>
      <w:numFmt w:val="bullet"/>
      <w:lvlText w:val=""/>
      <w:lvlJc w:val="left"/>
      <w:pPr>
        <w:ind w:left="6480" w:hanging="360"/>
      </w:pPr>
      <w:rPr>
        <w:rFonts w:ascii="Wingdings" w:hAnsi="Wingdings" w:hint="default"/>
      </w:rPr>
    </w:lvl>
  </w:abstractNum>
  <w:abstractNum w:abstractNumId="5" w15:restartNumberingAfterBreak="0">
    <w:nsid w:val="337B2092"/>
    <w:multiLevelType w:val="hybridMultilevel"/>
    <w:tmpl w:val="84845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696F86"/>
    <w:multiLevelType w:val="hybridMultilevel"/>
    <w:tmpl w:val="6C2EACA4"/>
    <w:lvl w:ilvl="0" w:tplc="E7C03C1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584341"/>
    <w:multiLevelType w:val="hybridMultilevel"/>
    <w:tmpl w:val="B5E6C486"/>
    <w:lvl w:ilvl="0" w:tplc="E7C03C16">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440F00"/>
    <w:multiLevelType w:val="hybridMultilevel"/>
    <w:tmpl w:val="70DE76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4675FB"/>
    <w:multiLevelType w:val="hybridMultilevel"/>
    <w:tmpl w:val="EF504F70"/>
    <w:lvl w:ilvl="0" w:tplc="E7C03C1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7D0BEF"/>
    <w:multiLevelType w:val="hybridMultilevel"/>
    <w:tmpl w:val="1F648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455843"/>
    <w:multiLevelType w:val="hybridMultilevel"/>
    <w:tmpl w:val="101A04F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62A100AD"/>
    <w:multiLevelType w:val="hybridMultilevel"/>
    <w:tmpl w:val="9B1632B2"/>
    <w:lvl w:ilvl="0" w:tplc="E7C03C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362A80"/>
    <w:multiLevelType w:val="hybridMultilevel"/>
    <w:tmpl w:val="0444F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7442052">
    <w:abstractNumId w:val="4"/>
  </w:num>
  <w:num w:numId="2" w16cid:durableId="185364393">
    <w:abstractNumId w:val="10"/>
  </w:num>
  <w:num w:numId="3" w16cid:durableId="947272506">
    <w:abstractNumId w:val="1"/>
  </w:num>
  <w:num w:numId="4" w16cid:durableId="16601140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07939">
    <w:abstractNumId w:val="3"/>
  </w:num>
  <w:num w:numId="6" w16cid:durableId="655959681">
    <w:abstractNumId w:val="12"/>
  </w:num>
  <w:num w:numId="7" w16cid:durableId="2111703564">
    <w:abstractNumId w:val="0"/>
  </w:num>
  <w:num w:numId="8" w16cid:durableId="990133064">
    <w:abstractNumId w:val="2"/>
  </w:num>
  <w:num w:numId="9" w16cid:durableId="1970427308">
    <w:abstractNumId w:val="13"/>
  </w:num>
  <w:num w:numId="10" w16cid:durableId="904801674">
    <w:abstractNumId w:val="5"/>
  </w:num>
  <w:num w:numId="11" w16cid:durableId="75788490">
    <w:abstractNumId w:val="6"/>
  </w:num>
  <w:num w:numId="12" w16cid:durableId="942491446">
    <w:abstractNumId w:val="8"/>
  </w:num>
  <w:num w:numId="13" w16cid:durableId="1684279135">
    <w:abstractNumId w:val="7"/>
  </w:num>
  <w:num w:numId="14" w16cid:durableId="20198428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90"/>
    <w:rsid w:val="000220B8"/>
    <w:rsid w:val="000811DB"/>
    <w:rsid w:val="000B1A07"/>
    <w:rsid w:val="000D75FB"/>
    <w:rsid w:val="001D52BB"/>
    <w:rsid w:val="001E348B"/>
    <w:rsid w:val="00245565"/>
    <w:rsid w:val="002667F5"/>
    <w:rsid w:val="002A1A00"/>
    <w:rsid w:val="002E7BDE"/>
    <w:rsid w:val="0031051B"/>
    <w:rsid w:val="00337668"/>
    <w:rsid w:val="00363A83"/>
    <w:rsid w:val="003D755D"/>
    <w:rsid w:val="003E27D1"/>
    <w:rsid w:val="003E34C5"/>
    <w:rsid w:val="00416B17"/>
    <w:rsid w:val="00446805"/>
    <w:rsid w:val="0048655A"/>
    <w:rsid w:val="004C284F"/>
    <w:rsid w:val="004E0AF9"/>
    <w:rsid w:val="004E6C65"/>
    <w:rsid w:val="00514319"/>
    <w:rsid w:val="005C32B4"/>
    <w:rsid w:val="00603E06"/>
    <w:rsid w:val="00613E8C"/>
    <w:rsid w:val="006522E4"/>
    <w:rsid w:val="00685E75"/>
    <w:rsid w:val="00695B10"/>
    <w:rsid w:val="006D32D2"/>
    <w:rsid w:val="0072563B"/>
    <w:rsid w:val="00777238"/>
    <w:rsid w:val="007A6DD7"/>
    <w:rsid w:val="008131C8"/>
    <w:rsid w:val="00813852"/>
    <w:rsid w:val="00817A9E"/>
    <w:rsid w:val="008400BD"/>
    <w:rsid w:val="00847135"/>
    <w:rsid w:val="00871F97"/>
    <w:rsid w:val="0087587B"/>
    <w:rsid w:val="00891B54"/>
    <w:rsid w:val="008A2E25"/>
    <w:rsid w:val="008A7C90"/>
    <w:rsid w:val="008E6D2C"/>
    <w:rsid w:val="008F2B09"/>
    <w:rsid w:val="008F2FF7"/>
    <w:rsid w:val="009001F2"/>
    <w:rsid w:val="00917859"/>
    <w:rsid w:val="00933309"/>
    <w:rsid w:val="00995016"/>
    <w:rsid w:val="00A16BB1"/>
    <w:rsid w:val="00A82685"/>
    <w:rsid w:val="00AC4B82"/>
    <w:rsid w:val="00AD6F6F"/>
    <w:rsid w:val="00B22DF0"/>
    <w:rsid w:val="00B70F4B"/>
    <w:rsid w:val="00BA2786"/>
    <w:rsid w:val="00C3487D"/>
    <w:rsid w:val="00C4025A"/>
    <w:rsid w:val="00C73A94"/>
    <w:rsid w:val="00CB0455"/>
    <w:rsid w:val="00CF4301"/>
    <w:rsid w:val="00D003F1"/>
    <w:rsid w:val="00D24534"/>
    <w:rsid w:val="00D371DA"/>
    <w:rsid w:val="00DD4EF8"/>
    <w:rsid w:val="00E14DD0"/>
    <w:rsid w:val="00E15BFF"/>
    <w:rsid w:val="00E274D8"/>
    <w:rsid w:val="00E37894"/>
    <w:rsid w:val="00E8740F"/>
    <w:rsid w:val="00EA2DF4"/>
    <w:rsid w:val="00EA42B3"/>
    <w:rsid w:val="00EB0401"/>
    <w:rsid w:val="00EF635D"/>
    <w:rsid w:val="00EF6EE1"/>
    <w:rsid w:val="00F22C03"/>
    <w:rsid w:val="00F36215"/>
    <w:rsid w:val="00F91EB4"/>
    <w:rsid w:val="00FC1D64"/>
    <w:rsid w:val="00FE6194"/>
    <w:rsid w:val="046561E1"/>
    <w:rsid w:val="0B4BE6C0"/>
    <w:rsid w:val="11F47093"/>
    <w:rsid w:val="1256C8E6"/>
    <w:rsid w:val="12DAFB08"/>
    <w:rsid w:val="18BD5F4A"/>
    <w:rsid w:val="1A557A28"/>
    <w:rsid w:val="1B113C94"/>
    <w:rsid w:val="1F121BE3"/>
    <w:rsid w:val="23CA0674"/>
    <w:rsid w:val="24B0B1DD"/>
    <w:rsid w:val="2DD89CC7"/>
    <w:rsid w:val="30BD5087"/>
    <w:rsid w:val="396A60F7"/>
    <w:rsid w:val="44AFF8A6"/>
    <w:rsid w:val="4648302D"/>
    <w:rsid w:val="49AC4747"/>
    <w:rsid w:val="4CE3E809"/>
    <w:rsid w:val="4E551E08"/>
    <w:rsid w:val="51023434"/>
    <w:rsid w:val="5443D280"/>
    <w:rsid w:val="596984DE"/>
    <w:rsid w:val="59CBA726"/>
    <w:rsid w:val="5AE88318"/>
    <w:rsid w:val="5F635F40"/>
    <w:rsid w:val="60CCECCC"/>
    <w:rsid w:val="63E1786A"/>
    <w:rsid w:val="68777F37"/>
    <w:rsid w:val="6C79CC45"/>
    <w:rsid w:val="6CF49913"/>
    <w:rsid w:val="709F4C40"/>
    <w:rsid w:val="7146E32B"/>
    <w:rsid w:val="79356A60"/>
    <w:rsid w:val="7C6D0B22"/>
    <w:rsid w:val="7D4B360B"/>
    <w:rsid w:val="7E08D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87FD"/>
  <w15:chartTrackingRefBased/>
  <w15:docId w15:val="{9FC22822-AC04-437A-95FB-02AB6792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C90"/>
  </w:style>
  <w:style w:type="paragraph" w:styleId="Heading1">
    <w:name w:val="heading 1"/>
    <w:basedOn w:val="Normal"/>
    <w:next w:val="Normal"/>
    <w:link w:val="Heading1Char"/>
    <w:uiPriority w:val="9"/>
    <w:qFormat/>
    <w:rsid w:val="008A7C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C9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A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7C90"/>
    <w:rPr>
      <w:color w:val="0563C1" w:themeColor="hyperlink"/>
      <w:u w:val="single"/>
    </w:rPr>
  </w:style>
  <w:style w:type="character" w:styleId="UnresolvedMention">
    <w:name w:val="Unresolved Mention"/>
    <w:basedOn w:val="DefaultParagraphFont"/>
    <w:uiPriority w:val="99"/>
    <w:semiHidden/>
    <w:unhideWhenUsed/>
    <w:rsid w:val="008A7C90"/>
    <w:rPr>
      <w:color w:val="605E5C"/>
      <w:shd w:val="clear" w:color="auto" w:fill="E1DFDD"/>
    </w:rPr>
  </w:style>
  <w:style w:type="paragraph" w:styleId="ListParagraph">
    <w:name w:val="List Paragraph"/>
    <w:basedOn w:val="Normal"/>
    <w:uiPriority w:val="34"/>
    <w:qFormat/>
    <w:rsid w:val="00871F97"/>
    <w:pPr>
      <w:spacing w:after="0" w:line="240" w:lineRule="auto"/>
      <w:ind w:left="720"/>
      <w:contextualSpacing/>
    </w:pPr>
    <w:rPr>
      <w:rFonts w:ascii="Times New Roman" w:hAnsi="Times New Roman"/>
      <w:sz w:val="24"/>
    </w:rPr>
  </w:style>
  <w:style w:type="paragraph" w:styleId="FootnoteText">
    <w:name w:val="footnote text"/>
    <w:basedOn w:val="Normal"/>
    <w:link w:val="FootnoteTextChar"/>
    <w:uiPriority w:val="99"/>
    <w:semiHidden/>
    <w:unhideWhenUsed/>
    <w:rsid w:val="000B1A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1A07"/>
    <w:rPr>
      <w:sz w:val="20"/>
      <w:szCs w:val="20"/>
    </w:rPr>
  </w:style>
  <w:style w:type="character" w:styleId="FootnoteReference">
    <w:name w:val="footnote reference"/>
    <w:basedOn w:val="DefaultParagraphFont"/>
    <w:uiPriority w:val="99"/>
    <w:semiHidden/>
    <w:unhideWhenUsed/>
    <w:rsid w:val="000B1A07"/>
    <w:rPr>
      <w:vertAlign w:val="superscript"/>
    </w:rPr>
  </w:style>
  <w:style w:type="paragraph" w:styleId="Header">
    <w:name w:val="header"/>
    <w:basedOn w:val="Normal"/>
    <w:link w:val="HeaderChar"/>
    <w:uiPriority w:val="99"/>
    <w:unhideWhenUsed/>
    <w:rsid w:val="007A6D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DD7"/>
  </w:style>
  <w:style w:type="paragraph" w:styleId="Footer">
    <w:name w:val="footer"/>
    <w:basedOn w:val="Normal"/>
    <w:link w:val="FooterChar"/>
    <w:uiPriority w:val="99"/>
    <w:unhideWhenUsed/>
    <w:rsid w:val="007A6D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DD7"/>
  </w:style>
  <w:style w:type="paragraph" w:styleId="NoSpacing">
    <w:name w:val="No Spacing"/>
    <w:uiPriority w:val="1"/>
    <w:qFormat/>
    <w:pPr>
      <w:spacing w:after="0" w:line="240" w:lineRule="auto"/>
    </w:pPr>
  </w:style>
  <w:style w:type="paragraph" w:styleId="Revision">
    <w:name w:val="Revision"/>
    <w:hidden/>
    <w:uiPriority w:val="99"/>
    <w:semiHidden/>
    <w:rsid w:val="004468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273137">
      <w:bodyDiv w:val="1"/>
      <w:marLeft w:val="0"/>
      <w:marRight w:val="0"/>
      <w:marTop w:val="0"/>
      <w:marBottom w:val="0"/>
      <w:divBdr>
        <w:top w:val="none" w:sz="0" w:space="0" w:color="auto"/>
        <w:left w:val="none" w:sz="0" w:space="0" w:color="auto"/>
        <w:bottom w:val="none" w:sz="0" w:space="0" w:color="auto"/>
        <w:right w:val="none" w:sz="0" w:space="0" w:color="auto"/>
      </w:divBdr>
    </w:div>
    <w:div w:id="1557474755">
      <w:bodyDiv w:val="1"/>
      <w:marLeft w:val="0"/>
      <w:marRight w:val="0"/>
      <w:marTop w:val="0"/>
      <w:marBottom w:val="0"/>
      <w:divBdr>
        <w:top w:val="none" w:sz="0" w:space="0" w:color="auto"/>
        <w:left w:val="none" w:sz="0" w:space="0" w:color="auto"/>
        <w:bottom w:val="none" w:sz="0" w:space="0" w:color="auto"/>
        <w:right w:val="none" w:sz="0" w:space="0" w:color="auto"/>
      </w:divBdr>
    </w:div>
    <w:div w:id="185776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A7FAD6358FF44797152258F9FF7A83" ma:contentTypeVersion="1" ma:contentTypeDescription="Create a new document." ma:contentTypeScope="" ma:versionID="fe005cc003bb5b4080769400e5f53134">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20D65-8DAC-49D1-87DE-E5B600C9698A}">
  <ds:schemaRefs>
    <ds:schemaRef ds:uri="http://schemas.openxmlformats.org/officeDocument/2006/bibliography"/>
  </ds:schemaRefs>
</ds:datastoreItem>
</file>

<file path=customXml/itemProps2.xml><?xml version="1.0" encoding="utf-8"?>
<ds:datastoreItem xmlns:ds="http://schemas.openxmlformats.org/officeDocument/2006/customXml" ds:itemID="{AC888A28-5B10-48BE-B8D6-480C75C53C84}">
  <ds:schemaRefs>
    <ds:schemaRef ds:uri="http://schemas.microsoft.com/office/2006/metadata/properties"/>
    <ds:schemaRef ds:uri="http://schemas.microsoft.com/office/infopath/2007/PartnerControls"/>
    <ds:schemaRef ds:uri="537647ec-f617-4999-8032-1f453e4c2fb5"/>
    <ds:schemaRef ds:uri="04c69e7e-30dd-4fc4-b8bc-afeef48eb057"/>
  </ds:schemaRefs>
</ds:datastoreItem>
</file>

<file path=customXml/itemProps3.xml><?xml version="1.0" encoding="utf-8"?>
<ds:datastoreItem xmlns:ds="http://schemas.openxmlformats.org/officeDocument/2006/customXml" ds:itemID="{422B8E45-4B7B-44CA-883D-6EABF409C33D}">
  <ds:schemaRefs>
    <ds:schemaRef ds:uri="http://schemas.microsoft.com/sharepoint/v3/contenttype/forms"/>
  </ds:schemaRefs>
</ds:datastoreItem>
</file>

<file path=customXml/itemProps4.xml><?xml version="1.0" encoding="utf-8"?>
<ds:datastoreItem xmlns:ds="http://schemas.openxmlformats.org/officeDocument/2006/customXml" ds:itemID="{90D80DD8-8CF6-4E29-A583-F981A198837D}"/>
</file>

<file path=docMetadata/LabelInfo.xml><?xml version="1.0" encoding="utf-8"?>
<clbl:labelList xmlns:clbl="http://schemas.microsoft.com/office/2020/mipLabelMetadata">
  <clbl:label id="{3f8a7bc4-e337-47a5-a0fc-0d512c0e05f1}" enabled="0" method="" siteId="{3f8a7bc4-e337-47a5-a0fc-0d512c0e05f1}"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3279</Characters>
  <Application>Microsoft Office Word</Application>
  <DocSecurity>0</DocSecurity>
  <Lines>27</Lines>
  <Paragraphs>7</Paragraphs>
  <ScaleCrop>false</ScaleCrop>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Cimone E Parker</dc:creator>
  <cp:keywords/>
  <dc:description/>
  <cp:lastModifiedBy>Natalie Au</cp:lastModifiedBy>
  <cp:revision>2</cp:revision>
  <dcterms:created xsi:type="dcterms:W3CDTF">2024-10-14T22:19:00Z</dcterms:created>
  <dcterms:modified xsi:type="dcterms:W3CDTF">2024-10-14T22:19:00Z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0x0101000FA7FAD6358FF44797152258F9FF7A83</vt:lpwstr>
  </property>
  <property fmtid="{D5CDD505-2E9C-101B-9397-08002B2CF9AE}" pid="3" name="MediaServiceImageTags">
    <vt:lpwstr/>
  </property>
</Properties>
</file>