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13014" w14:textId="743B2BF5" w:rsidR="00691CB7" w:rsidRPr="00691CB7" w:rsidRDefault="001C033A" w:rsidP="009E50DF">
      <w:pPr>
        <w:pStyle w:val="Heading1"/>
        <w:spacing w:before="0"/>
      </w:pPr>
      <w:r>
        <w:t>New r</w:t>
      </w:r>
      <w:r w:rsidR="005C233A">
        <w:t xml:space="preserve">isk estimates </w:t>
      </w:r>
      <w:r w:rsidR="00D850CB">
        <w:t xml:space="preserve">for colon cancer among </w:t>
      </w:r>
      <w:r w:rsidR="242A900D">
        <w:t>persons</w:t>
      </w:r>
      <w:r w:rsidR="006B0732">
        <w:t xml:space="preserve"> with serrated colon polyps </w:t>
      </w:r>
      <w:r w:rsidR="00D850CB">
        <w:t xml:space="preserve">inform guidelines for </w:t>
      </w:r>
      <w:r w:rsidR="0A6F64B8">
        <w:t>timing of</w:t>
      </w:r>
      <w:r w:rsidR="00D850CB">
        <w:t xml:space="preserve"> repeat colonoscopy</w:t>
      </w:r>
    </w:p>
    <w:p w14:paraId="0AEADA4D" w14:textId="77777777" w:rsidR="00691CB7" w:rsidRPr="004D7ECD" w:rsidRDefault="00691CB7" w:rsidP="009E50DF">
      <w:pPr>
        <w:spacing w:after="0"/>
        <w:rPr>
          <w:rFonts w:eastAsia="Times New Roman" w:cstheme="minorHAnsi"/>
          <w:color w:val="000000"/>
        </w:rPr>
      </w:pPr>
      <w:r w:rsidRPr="004D7ECD">
        <w:rPr>
          <w:rFonts w:eastAsia="Times New Roman" w:cstheme="minorHAnsi"/>
          <w:color w:val="000000"/>
        </w:rPr>
        <w:t>Dan Li, Liyan Liu, Helene B. Fevrier, Stacey E. Alexeeff, Amanda R. Doherty, Menaka Raju, Laura B. Amsden, Jeffrey K. Lee, Theodore R. Levin, Douglas A. Corley and Lisa J. Herrinton</w:t>
      </w:r>
    </w:p>
    <w:tbl>
      <w:tblPr>
        <w:tblStyle w:val="TableGrid"/>
        <w:tblpPr w:leftFromText="187" w:rightFromText="187" w:vertAnchor="text" w:tblpX="-275" w:tblpY="1"/>
        <w:tblOverlap w:val="never"/>
        <w:tblW w:w="10797" w:type="dxa"/>
        <w:tblLook w:val="04A0" w:firstRow="1" w:lastRow="0" w:firstColumn="1" w:lastColumn="0" w:noHBand="0" w:noVBand="1"/>
      </w:tblPr>
      <w:tblGrid>
        <w:gridCol w:w="1851"/>
        <w:gridCol w:w="9666"/>
      </w:tblGrid>
      <w:tr w:rsidR="008F769E" w:rsidRPr="008A7C90" w14:paraId="114D48B4" w14:textId="77777777" w:rsidTr="3B577248">
        <w:trPr>
          <w:trHeight w:val="1070"/>
        </w:trPr>
        <w:tc>
          <w:tcPr>
            <w:tcW w:w="1934" w:type="dxa"/>
          </w:tcPr>
          <w:p w14:paraId="0C8E8FE0" w14:textId="77777777" w:rsidR="00C00F55" w:rsidRPr="008A7C90" w:rsidRDefault="00C00F55" w:rsidP="00797272">
            <w:pPr>
              <w:spacing w:line="259" w:lineRule="auto"/>
            </w:pPr>
            <w:bookmarkStart w:id="0" w:name="_Hlk54105970"/>
            <w:r w:rsidRPr="008A7C90">
              <w:t>Challenge</w:t>
            </w:r>
          </w:p>
        </w:tc>
        <w:tc>
          <w:tcPr>
            <w:tcW w:w="8863" w:type="dxa"/>
          </w:tcPr>
          <w:p w14:paraId="27AC1FD0" w14:textId="3A387DDC" w:rsidR="00C00F55" w:rsidRPr="00691CB7" w:rsidRDefault="00691CB7" w:rsidP="00797272">
            <w:r w:rsidRPr="00691CB7">
              <w:rPr>
                <w:b/>
              </w:rPr>
              <w:t xml:space="preserve">Serrated </w:t>
            </w:r>
            <w:r w:rsidR="00D520FF">
              <w:rPr>
                <w:b/>
              </w:rPr>
              <w:t xml:space="preserve">colon </w:t>
            </w:r>
            <w:r w:rsidRPr="00691CB7">
              <w:rPr>
                <w:b/>
              </w:rPr>
              <w:t>polyp</w:t>
            </w:r>
            <w:r w:rsidR="006235BF">
              <w:rPr>
                <w:b/>
              </w:rPr>
              <w:t>s (SPs)</w:t>
            </w:r>
            <w:r w:rsidRPr="00691CB7">
              <w:rPr>
                <w:b/>
              </w:rPr>
              <w:t xml:space="preserve"> are precursors to 20% to 30% of cases of colorectal </w:t>
            </w:r>
            <w:r w:rsidR="00107CCA">
              <w:rPr>
                <w:b/>
              </w:rPr>
              <w:t>cancer</w:t>
            </w:r>
            <w:r w:rsidR="006235BF">
              <w:rPr>
                <w:b/>
              </w:rPr>
              <w:t xml:space="preserve"> (CRC)</w:t>
            </w:r>
            <w:r w:rsidRPr="00691CB7">
              <w:rPr>
                <w:b/>
              </w:rPr>
              <w:t xml:space="preserve">, but patients’ long-term risk after </w:t>
            </w:r>
            <w:r w:rsidR="00D520FF">
              <w:rPr>
                <w:b/>
              </w:rPr>
              <w:t xml:space="preserve">polyp </w:t>
            </w:r>
            <w:r w:rsidRPr="00691CB7">
              <w:rPr>
                <w:b/>
              </w:rPr>
              <w:t>removal is poorly understood</w:t>
            </w:r>
            <w:r w:rsidR="00A91D05">
              <w:rPr>
                <w:b/>
              </w:rPr>
              <w:t xml:space="preserve">, which </w:t>
            </w:r>
            <w:r w:rsidR="00107CCA">
              <w:rPr>
                <w:b/>
              </w:rPr>
              <w:t>may lead to inappropriate follow-up colonoscopy intervals</w:t>
            </w:r>
            <w:r w:rsidRPr="007825DA">
              <w:t xml:space="preserve">. </w:t>
            </w:r>
            <w:r>
              <w:t>This study</w:t>
            </w:r>
            <w:r w:rsidRPr="007825DA">
              <w:t xml:space="preserve"> investigated the risk of </w:t>
            </w:r>
            <w:r w:rsidR="006235BF">
              <w:t xml:space="preserve">CRC </w:t>
            </w:r>
            <w:r w:rsidRPr="007825DA">
              <w:t>in individuals with a history of SPs.</w:t>
            </w:r>
          </w:p>
        </w:tc>
      </w:tr>
      <w:tr w:rsidR="008F769E" w:rsidRPr="008A7C90" w14:paraId="1B565E6D" w14:textId="77777777" w:rsidTr="3B577248">
        <w:trPr>
          <w:trHeight w:val="710"/>
        </w:trPr>
        <w:tc>
          <w:tcPr>
            <w:tcW w:w="1934" w:type="dxa"/>
          </w:tcPr>
          <w:p w14:paraId="5CEAE892" w14:textId="77777777" w:rsidR="00C00F55" w:rsidRPr="008A7C90" w:rsidRDefault="00C00F55" w:rsidP="00797272">
            <w:pPr>
              <w:spacing w:line="259" w:lineRule="auto"/>
            </w:pPr>
            <w:r w:rsidRPr="008A7C90">
              <w:t>Existing Evidence</w:t>
            </w:r>
          </w:p>
        </w:tc>
        <w:tc>
          <w:tcPr>
            <w:tcW w:w="8863" w:type="dxa"/>
          </w:tcPr>
          <w:p w14:paraId="3AE9184F" w14:textId="6212118D" w:rsidR="00C00F55" w:rsidRPr="008A7C90" w:rsidRDefault="00691CB7" w:rsidP="00797272">
            <w:r>
              <w:t xml:space="preserve">Evidence around </w:t>
            </w:r>
            <w:r w:rsidR="00952181">
              <w:t>SPs</w:t>
            </w:r>
            <w:r>
              <w:t xml:space="preserve"> and </w:t>
            </w:r>
            <w:r w:rsidR="00952181">
              <w:t>CRC</w:t>
            </w:r>
            <w:r>
              <w:t xml:space="preserve"> risk is limited. Current surveillance guidelines suggest relatively frequent</w:t>
            </w:r>
            <w:r w:rsidR="00BF457A">
              <w:t xml:space="preserve"> need for follow-up colonoscopy but the appropriateness relative to risk (and other polyp types) is unknown</w:t>
            </w:r>
            <w:r w:rsidR="006235BF">
              <w:t>.</w:t>
            </w:r>
          </w:p>
        </w:tc>
      </w:tr>
      <w:tr w:rsidR="008F769E" w:rsidRPr="008A7C90" w14:paraId="4508CAEC" w14:textId="77777777" w:rsidTr="3B577248">
        <w:trPr>
          <w:trHeight w:val="262"/>
        </w:trPr>
        <w:tc>
          <w:tcPr>
            <w:tcW w:w="1934" w:type="dxa"/>
          </w:tcPr>
          <w:p w14:paraId="5B713943" w14:textId="77777777" w:rsidR="00C00F55" w:rsidRPr="008A7C90" w:rsidRDefault="00C00F55" w:rsidP="00797272">
            <w:pPr>
              <w:spacing w:line="259" w:lineRule="auto"/>
            </w:pPr>
            <w:r w:rsidRPr="008A7C90">
              <w:t>Target Population</w:t>
            </w:r>
          </w:p>
        </w:tc>
        <w:tc>
          <w:tcPr>
            <w:tcW w:w="8863" w:type="dxa"/>
          </w:tcPr>
          <w:p w14:paraId="21AEABFD" w14:textId="63AFE143" w:rsidR="00C00F55" w:rsidRPr="008A7C90" w:rsidRDefault="00691CB7" w:rsidP="00797272">
            <w:r>
              <w:t>Patients undergoing colonoscopy</w:t>
            </w:r>
          </w:p>
        </w:tc>
      </w:tr>
      <w:tr w:rsidR="008F769E" w:rsidRPr="008A7C90" w14:paraId="6BF408F1" w14:textId="77777777" w:rsidTr="3B577248">
        <w:trPr>
          <w:trHeight w:val="276"/>
        </w:trPr>
        <w:tc>
          <w:tcPr>
            <w:tcW w:w="1934" w:type="dxa"/>
          </w:tcPr>
          <w:p w14:paraId="7D5D9A8B" w14:textId="77777777" w:rsidR="00C00F55" w:rsidRPr="008A7C90" w:rsidRDefault="00C00F55" w:rsidP="00797272">
            <w:pPr>
              <w:spacing w:line="259" w:lineRule="auto"/>
            </w:pPr>
            <w:r w:rsidRPr="008A7C90">
              <w:t>Intervention or Exposure</w:t>
            </w:r>
          </w:p>
        </w:tc>
        <w:tc>
          <w:tcPr>
            <w:tcW w:w="8863" w:type="dxa"/>
          </w:tcPr>
          <w:p w14:paraId="0AFECC66" w14:textId="48FCA3F0" w:rsidR="00C00F55" w:rsidRPr="008A7C90" w:rsidRDefault="00691CB7" w:rsidP="00797272">
            <w:r>
              <w:t xml:space="preserve">Presence of </w:t>
            </w:r>
            <w:r w:rsidR="009D1FD3">
              <w:t>serrated colon polyps</w:t>
            </w:r>
          </w:p>
        </w:tc>
      </w:tr>
      <w:tr w:rsidR="008F769E" w:rsidRPr="008A7C90" w14:paraId="0F388BD3" w14:textId="77777777" w:rsidTr="3B577248">
        <w:trPr>
          <w:trHeight w:val="2134"/>
        </w:trPr>
        <w:tc>
          <w:tcPr>
            <w:tcW w:w="1934" w:type="dxa"/>
          </w:tcPr>
          <w:p w14:paraId="0C0805FB" w14:textId="77777777" w:rsidR="00C00F55" w:rsidRPr="008A7C90" w:rsidRDefault="00C00F55" w:rsidP="00797272">
            <w:pPr>
              <w:spacing w:line="259" w:lineRule="auto"/>
            </w:pPr>
            <w:r w:rsidRPr="008A7C90">
              <w:t>Outcomes/Key Findings</w:t>
            </w:r>
          </w:p>
        </w:tc>
        <w:tc>
          <w:tcPr>
            <w:tcW w:w="8863" w:type="dxa"/>
          </w:tcPr>
          <w:p w14:paraId="2ADA2E8C" w14:textId="1F2A136B" w:rsidR="00C00F55" w:rsidRPr="008A7C90" w:rsidRDefault="00691CB7" w:rsidP="00797272">
            <w:r>
              <w:t xml:space="preserve">Among 233,393 individuals undergoing colonoscopy, 445 developed </w:t>
            </w:r>
            <w:r w:rsidR="00561255">
              <w:t>a subsequent</w:t>
            </w:r>
            <w:r>
              <w:t xml:space="preserve"> CRC. </w:t>
            </w:r>
            <w:r w:rsidR="00CA3F70">
              <w:t xml:space="preserve">173,257 had no polyp on first colonoscopy; 11,505 </w:t>
            </w:r>
            <w:r w:rsidR="00CC08ED">
              <w:t xml:space="preserve">had </w:t>
            </w:r>
            <w:r w:rsidR="00CA3F70">
              <w:t>proximal SPs, 12,080 proximal SPs and synchronous adenomas, 19,410 distal SPs, and 17,141 distal SPs and synchronous adenomas</w:t>
            </w:r>
            <w:r w:rsidR="00561255">
              <w:t xml:space="preserve">.  </w:t>
            </w:r>
            <w:r w:rsidR="00561255" w:rsidRPr="376B5324">
              <w:rPr>
                <w:b/>
                <w:bCs/>
              </w:rPr>
              <w:t>Among</w:t>
            </w:r>
            <w:r w:rsidRPr="376B5324">
              <w:rPr>
                <w:b/>
                <w:bCs/>
              </w:rPr>
              <w:t xml:space="preserve"> patients with </w:t>
            </w:r>
            <w:r w:rsidR="006235BF">
              <w:rPr>
                <w:b/>
                <w:bCs/>
              </w:rPr>
              <w:t>SPs</w:t>
            </w:r>
            <w:r w:rsidRPr="376B5324">
              <w:rPr>
                <w:b/>
                <w:bCs/>
              </w:rPr>
              <w:t xml:space="preserve">, risk of CRC was not increased until 3 years or more after the first colonoscopy </w:t>
            </w:r>
            <w:r>
              <w:t xml:space="preserve">(HR for small proximal SPs 2.6; 95% CI, 1.7–3.9 and HR for large proximal SPs 8.0; 95% CI, 3.6–16.1). </w:t>
            </w:r>
            <w:r w:rsidRPr="376B5324">
              <w:rPr>
                <w:b/>
                <w:bCs/>
              </w:rPr>
              <w:t xml:space="preserve">The </w:t>
            </w:r>
            <w:r w:rsidR="00DD66F1" w:rsidRPr="376B5324">
              <w:rPr>
                <w:b/>
                <w:bCs/>
              </w:rPr>
              <w:t xml:space="preserve">risk was higher </w:t>
            </w:r>
            <w:r w:rsidR="567DF8C4" w:rsidRPr="376B5324">
              <w:rPr>
                <w:b/>
                <w:bCs/>
              </w:rPr>
              <w:t>i</w:t>
            </w:r>
            <w:r w:rsidR="00DD66F1" w:rsidRPr="376B5324">
              <w:rPr>
                <w:b/>
                <w:bCs/>
              </w:rPr>
              <w:t>f an adenoma was also diagnosed</w:t>
            </w:r>
            <w:r w:rsidRPr="376B5324">
              <w:rPr>
                <w:b/>
                <w:bCs/>
              </w:rPr>
              <w:t xml:space="preserve"> </w:t>
            </w:r>
            <w:r>
              <w:t xml:space="preserve">(HR for proximal SPs with </w:t>
            </w:r>
            <w:r w:rsidR="00952181">
              <w:t>synchronous</w:t>
            </w:r>
            <w:r>
              <w:t xml:space="preserve"> adenomas 4.0; 95% CI, 3.0–5.5</w:t>
            </w:r>
            <w:r w:rsidR="00952181">
              <w:t>;</w:t>
            </w:r>
            <w:r>
              <w:t xml:space="preserve"> and HR for distal SPs with synchronous adenomas 2.4; 95% CI, 1.7–3.4).</w:t>
            </w:r>
          </w:p>
        </w:tc>
      </w:tr>
      <w:tr w:rsidR="008F769E" w:rsidRPr="008A7C90" w14:paraId="28982E72" w14:textId="77777777" w:rsidTr="3B577248">
        <w:trPr>
          <w:trHeight w:val="622"/>
        </w:trPr>
        <w:tc>
          <w:tcPr>
            <w:tcW w:w="1934" w:type="dxa"/>
          </w:tcPr>
          <w:p w14:paraId="0758E4C3" w14:textId="77777777" w:rsidR="00C00F55" w:rsidRPr="008A7C90" w:rsidRDefault="00C00F55" w:rsidP="00797272">
            <w:pPr>
              <w:spacing w:line="259" w:lineRule="auto"/>
            </w:pPr>
            <w:r w:rsidRPr="008A7C90">
              <w:t>Resulting Action/Change</w:t>
            </w:r>
          </w:p>
        </w:tc>
        <w:tc>
          <w:tcPr>
            <w:tcW w:w="8863" w:type="dxa"/>
          </w:tcPr>
          <w:p w14:paraId="35A57C24" w14:textId="2F597A8F" w:rsidR="00C00F55" w:rsidRPr="00887507" w:rsidRDefault="00691CB7" w:rsidP="00797272">
            <w:pPr>
              <w:rPr>
                <w:b/>
                <w:bCs/>
              </w:rPr>
            </w:pPr>
            <w:r w:rsidRPr="00887507">
              <w:rPr>
                <w:b/>
                <w:bCs/>
              </w:rPr>
              <w:t xml:space="preserve">The study </w:t>
            </w:r>
            <w:r w:rsidR="00A0059F">
              <w:rPr>
                <w:b/>
                <w:bCs/>
              </w:rPr>
              <w:t>provided</w:t>
            </w:r>
            <w:r w:rsidRPr="00887507">
              <w:rPr>
                <w:b/>
                <w:bCs/>
              </w:rPr>
              <w:t xml:space="preserve"> </w:t>
            </w:r>
            <w:r w:rsidR="00B73513">
              <w:rPr>
                <w:b/>
                <w:bCs/>
              </w:rPr>
              <w:t xml:space="preserve">some of the first community-based </w:t>
            </w:r>
            <w:r w:rsidRPr="00887507">
              <w:rPr>
                <w:b/>
                <w:bCs/>
              </w:rPr>
              <w:t>evidence</w:t>
            </w:r>
            <w:r w:rsidR="00B73513">
              <w:rPr>
                <w:b/>
                <w:bCs/>
              </w:rPr>
              <w:t xml:space="preserve"> for post-colonoscopy</w:t>
            </w:r>
            <w:r w:rsidRPr="00887507">
              <w:rPr>
                <w:b/>
                <w:bCs/>
              </w:rPr>
              <w:t xml:space="preserve"> </w:t>
            </w:r>
            <w:r w:rsidR="00A0059F">
              <w:rPr>
                <w:b/>
                <w:bCs/>
              </w:rPr>
              <w:t xml:space="preserve">risk </w:t>
            </w:r>
            <w:r w:rsidR="00952181">
              <w:rPr>
                <w:b/>
                <w:bCs/>
              </w:rPr>
              <w:t>stratification</w:t>
            </w:r>
            <w:r w:rsidR="001426D0">
              <w:rPr>
                <w:b/>
                <w:bCs/>
              </w:rPr>
              <w:t>; this</w:t>
            </w:r>
            <w:r w:rsidR="00A0059F">
              <w:rPr>
                <w:b/>
                <w:bCs/>
              </w:rPr>
              <w:t xml:space="preserve"> is influencing national and KP guidelines for follow-up </w:t>
            </w:r>
            <w:r w:rsidRPr="00887507">
              <w:rPr>
                <w:b/>
                <w:bCs/>
              </w:rPr>
              <w:t xml:space="preserve">colonoscopy surveillance </w:t>
            </w:r>
            <w:r w:rsidR="0051310B" w:rsidRPr="00887507">
              <w:rPr>
                <w:b/>
                <w:bCs/>
              </w:rPr>
              <w:t xml:space="preserve">after </w:t>
            </w:r>
            <w:r w:rsidR="006235BF">
              <w:rPr>
                <w:b/>
                <w:bCs/>
              </w:rPr>
              <w:t>SP</w:t>
            </w:r>
            <w:r w:rsidR="008E6DBC">
              <w:rPr>
                <w:b/>
                <w:bCs/>
              </w:rPr>
              <w:t xml:space="preserve"> diagnosis</w:t>
            </w:r>
            <w:r w:rsidR="0051310B" w:rsidRPr="00887507">
              <w:rPr>
                <w:b/>
                <w:bCs/>
              </w:rPr>
              <w:t xml:space="preserve"> (found on </w:t>
            </w:r>
            <w:r w:rsidR="00887507" w:rsidRPr="00887507">
              <w:rPr>
                <w:b/>
                <w:bCs/>
              </w:rPr>
              <w:t xml:space="preserve">1 of </w:t>
            </w:r>
            <w:r w:rsidR="006235BF">
              <w:rPr>
                <w:b/>
                <w:bCs/>
              </w:rPr>
              <w:t>10</w:t>
            </w:r>
            <w:r w:rsidR="006235BF" w:rsidRPr="00887507">
              <w:rPr>
                <w:b/>
                <w:bCs/>
              </w:rPr>
              <w:t xml:space="preserve"> </w:t>
            </w:r>
            <w:r w:rsidR="00887507" w:rsidRPr="00887507">
              <w:rPr>
                <w:b/>
                <w:bCs/>
              </w:rPr>
              <w:t>colonoscopies)</w:t>
            </w:r>
            <w:r w:rsidR="0051310B" w:rsidRPr="00887507">
              <w:rPr>
                <w:b/>
                <w:bCs/>
              </w:rPr>
              <w:t>.</w:t>
            </w:r>
            <w:r w:rsidRPr="00887507">
              <w:rPr>
                <w:b/>
                <w:bCs/>
              </w:rPr>
              <w:t xml:space="preserve"> </w:t>
            </w:r>
          </w:p>
        </w:tc>
      </w:tr>
      <w:tr w:rsidR="00845393" w:rsidRPr="008A7C90" w14:paraId="06E006CA" w14:textId="77777777" w:rsidTr="3B577248">
        <w:trPr>
          <w:trHeight w:val="710"/>
        </w:trPr>
        <w:tc>
          <w:tcPr>
            <w:tcW w:w="1934" w:type="dxa"/>
          </w:tcPr>
          <w:p w14:paraId="67CED745" w14:textId="0203CF11" w:rsidR="00845393" w:rsidRPr="008A7C90" w:rsidRDefault="00845393" w:rsidP="00797272">
            <w:r>
              <w:t>Additional recommendations</w:t>
            </w:r>
          </w:p>
        </w:tc>
        <w:tc>
          <w:tcPr>
            <w:tcW w:w="8863" w:type="dxa"/>
          </w:tcPr>
          <w:p w14:paraId="052566A9" w14:textId="31931AA3" w:rsidR="00845393" w:rsidRDefault="00050D57" w:rsidP="00797272">
            <w:r>
              <w:t>Dissemination of findings to practitioner and follow-up analysis with compliance</w:t>
            </w:r>
            <w:r w:rsidR="00CB1B0F">
              <w:t xml:space="preserve"> of these data into KPNC practices can inform evidence-based follow-up intervals.</w:t>
            </w:r>
          </w:p>
        </w:tc>
      </w:tr>
      <w:tr w:rsidR="008F769E" w:rsidRPr="008A7C90" w14:paraId="7A183D36" w14:textId="77777777" w:rsidTr="3B577248">
        <w:trPr>
          <w:trHeight w:val="710"/>
        </w:trPr>
        <w:tc>
          <w:tcPr>
            <w:tcW w:w="1934" w:type="dxa"/>
          </w:tcPr>
          <w:p w14:paraId="713A9C2F" w14:textId="3C957F65" w:rsidR="00C00F55" w:rsidRPr="008A7C90" w:rsidRDefault="00C00F55" w:rsidP="00797272">
            <w:pPr>
              <w:spacing w:line="259" w:lineRule="auto"/>
            </w:pPr>
            <w:r w:rsidRPr="008A7C90">
              <w:t>Implementation Tools</w:t>
            </w:r>
          </w:p>
        </w:tc>
        <w:tc>
          <w:tcPr>
            <w:tcW w:w="8863" w:type="dxa"/>
          </w:tcPr>
          <w:p w14:paraId="7086AFEE" w14:textId="09584A4E" w:rsidR="00C00F55" w:rsidRPr="008A7C90" w:rsidRDefault="00691CB7" w:rsidP="00797272">
            <w:r>
              <w:t>Colonoscopy surveillance guidelines and risk</w:t>
            </w:r>
            <w:r w:rsidR="00075AB2">
              <w:t xml:space="preserve"> measures</w:t>
            </w:r>
          </w:p>
        </w:tc>
      </w:tr>
      <w:tr w:rsidR="008F769E" w:rsidRPr="008A7C90" w14:paraId="4E70A877" w14:textId="77777777" w:rsidTr="3B577248">
        <w:trPr>
          <w:trHeight w:val="552"/>
        </w:trPr>
        <w:tc>
          <w:tcPr>
            <w:tcW w:w="1934" w:type="dxa"/>
          </w:tcPr>
          <w:p w14:paraId="0EF13549" w14:textId="4DA44143" w:rsidR="00C00F55" w:rsidRPr="008A7C90" w:rsidRDefault="00FD18D2" w:rsidP="00797272">
            <w:pPr>
              <w:spacing w:line="259" w:lineRule="auto"/>
            </w:pPr>
            <w:r>
              <w:t>Implementation and follow-up measurements</w:t>
            </w:r>
          </w:p>
        </w:tc>
        <w:tc>
          <w:tcPr>
            <w:tcW w:w="8863" w:type="dxa"/>
          </w:tcPr>
          <w:p w14:paraId="5695DDF3" w14:textId="1176D05C" w:rsidR="00C00F55" w:rsidRPr="008A7C90" w:rsidRDefault="00691CB7" w:rsidP="00797272">
            <w:r>
              <w:t>S</w:t>
            </w:r>
            <w:r w:rsidR="00FA0F5D">
              <w:t>errated polyp diagnosis</w:t>
            </w:r>
            <w:r w:rsidR="001B5116">
              <w:t xml:space="preserve"> and </w:t>
            </w:r>
            <w:r w:rsidR="0002253F">
              <w:t xml:space="preserve">guideline-concordant follow-up (implementation); </w:t>
            </w:r>
            <w:r w:rsidR="001B5116">
              <w:t>cancer risk after colonoscopy</w:t>
            </w:r>
            <w:r w:rsidR="0002253F">
              <w:t xml:space="preserve"> (effectiveness); changes in colonoscopy and cancer care (utilization)</w:t>
            </w:r>
          </w:p>
        </w:tc>
      </w:tr>
      <w:tr w:rsidR="008F769E" w:rsidRPr="008A7C90" w14:paraId="6911A7DF" w14:textId="77777777" w:rsidTr="3B577248">
        <w:trPr>
          <w:trHeight w:val="538"/>
        </w:trPr>
        <w:tc>
          <w:tcPr>
            <w:tcW w:w="1934" w:type="dxa"/>
          </w:tcPr>
          <w:p w14:paraId="1E297986" w14:textId="0E22F10B" w:rsidR="008F5E1F" w:rsidRPr="008A7C90" w:rsidRDefault="00C00F55" w:rsidP="00797272">
            <w:r>
              <w:lastRenderedPageBreak/>
              <w:t>Reference(s) [Key Figure if applicable]</w:t>
            </w:r>
          </w:p>
        </w:tc>
        <w:tc>
          <w:tcPr>
            <w:tcW w:w="8863" w:type="dxa"/>
          </w:tcPr>
          <w:p w14:paraId="1C2E7843" w14:textId="1A0438E6" w:rsidR="3C3A3E2C" w:rsidRDefault="008A32C7" w:rsidP="00797272">
            <w:bookmarkStart w:id="1" w:name="_GoBack"/>
            <w:r>
              <w:rPr>
                <w:noProof/>
              </w:rPr>
              <w:drawing>
                <wp:inline distT="0" distB="0" distL="0" distR="0" wp14:anchorId="3683EA0E" wp14:editId="367E538C">
                  <wp:extent cx="5997810" cy="285847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253" cy="2859643"/>
                          </a:xfrm>
                          <a:prstGeom prst="rect">
                            <a:avLst/>
                          </a:prstGeom>
                          <a:noFill/>
                          <a:ln>
                            <a:noFill/>
                          </a:ln>
                        </pic:spPr>
                      </pic:pic>
                    </a:graphicData>
                  </a:graphic>
                </wp:inline>
              </w:drawing>
            </w:r>
            <w:bookmarkEnd w:id="1"/>
          </w:p>
          <w:p w14:paraId="3D6B7E76" w14:textId="77777777" w:rsidR="00C00F55" w:rsidRDefault="3C3A3E2C" w:rsidP="00797272">
            <w:r>
              <w:t xml:space="preserve">Doi: </w:t>
            </w:r>
            <w:r w:rsidR="00691CB7">
              <w:t>10.1053/j.gastro.2020.04.004. PMID: 32277950</w:t>
            </w:r>
          </w:p>
          <w:p w14:paraId="33D95EDD" w14:textId="2AF38170" w:rsidR="009D47E8" w:rsidRDefault="008A32C7" w:rsidP="00797272">
            <w:hyperlink r:id="rId10" w:history="1">
              <w:r w:rsidR="002C63C5" w:rsidRPr="00181FFE">
                <w:rPr>
                  <w:rStyle w:val="Hyperlink"/>
                </w:rPr>
                <w:t>https://pubmed.ncbi.nlm.nih.gov/32277950/</w:t>
              </w:r>
            </w:hyperlink>
          </w:p>
          <w:p w14:paraId="3827C732" w14:textId="61C73F6F" w:rsidR="002C63C5" w:rsidRPr="008A7C90" w:rsidRDefault="002C63C5" w:rsidP="00797272"/>
        </w:tc>
      </w:tr>
      <w:bookmarkEnd w:id="0"/>
    </w:tbl>
    <w:p w14:paraId="51C58CFA" w14:textId="60CCE994" w:rsidR="009445BE" w:rsidRDefault="009445BE" w:rsidP="00ED5438">
      <w:pPr>
        <w:spacing w:after="0"/>
      </w:pPr>
    </w:p>
    <w:sectPr w:rsidR="009445BE" w:rsidSect="0079727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76458" w14:textId="77777777" w:rsidR="00464249" w:rsidRDefault="00464249" w:rsidP="008F5E1F">
      <w:pPr>
        <w:spacing w:after="0" w:line="240" w:lineRule="auto"/>
      </w:pPr>
      <w:r>
        <w:separator/>
      </w:r>
    </w:p>
  </w:endnote>
  <w:endnote w:type="continuationSeparator" w:id="0">
    <w:p w14:paraId="62EA5112" w14:textId="77777777" w:rsidR="00464249" w:rsidRDefault="00464249" w:rsidP="008F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9AFD4" w14:textId="77777777" w:rsidR="00464249" w:rsidRDefault="00464249" w:rsidP="008F5E1F">
      <w:pPr>
        <w:spacing w:after="0" w:line="240" w:lineRule="auto"/>
      </w:pPr>
      <w:r>
        <w:separator/>
      </w:r>
    </w:p>
  </w:footnote>
  <w:footnote w:type="continuationSeparator" w:id="0">
    <w:p w14:paraId="47389FE1" w14:textId="77777777" w:rsidR="00464249" w:rsidRDefault="00464249" w:rsidP="008F5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8DA9" w14:textId="7EBF3983" w:rsidR="00691CB7" w:rsidRDefault="00691CB7">
    <w:pPr>
      <w:pStyle w:val="Header"/>
    </w:pPr>
    <w:r>
      <w:t>Physician Researcher Program (PRP)</w:t>
    </w:r>
  </w:p>
  <w:p w14:paraId="1F70BCF6" w14:textId="77777777" w:rsidR="00691CB7" w:rsidRDefault="00691C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55"/>
    <w:rsid w:val="0002253F"/>
    <w:rsid w:val="00050D57"/>
    <w:rsid w:val="00075AB2"/>
    <w:rsid w:val="000F356B"/>
    <w:rsid w:val="00107CCA"/>
    <w:rsid w:val="001426D0"/>
    <w:rsid w:val="001B5116"/>
    <w:rsid w:val="001C033A"/>
    <w:rsid w:val="0026407F"/>
    <w:rsid w:val="002C63C5"/>
    <w:rsid w:val="002E6568"/>
    <w:rsid w:val="00464249"/>
    <w:rsid w:val="004E023F"/>
    <w:rsid w:val="004E06E6"/>
    <w:rsid w:val="0051310B"/>
    <w:rsid w:val="00561255"/>
    <w:rsid w:val="005974DD"/>
    <w:rsid w:val="005C233A"/>
    <w:rsid w:val="006235BF"/>
    <w:rsid w:val="00691CB7"/>
    <w:rsid w:val="006B0732"/>
    <w:rsid w:val="007420BF"/>
    <w:rsid w:val="00797272"/>
    <w:rsid w:val="007C44D8"/>
    <w:rsid w:val="00824F0A"/>
    <w:rsid w:val="00845393"/>
    <w:rsid w:val="008513C2"/>
    <w:rsid w:val="00860F32"/>
    <w:rsid w:val="00861A13"/>
    <w:rsid w:val="00887507"/>
    <w:rsid w:val="0089559F"/>
    <w:rsid w:val="00896042"/>
    <w:rsid w:val="008A32C7"/>
    <w:rsid w:val="008E6DBC"/>
    <w:rsid w:val="008F5E1F"/>
    <w:rsid w:val="008F769E"/>
    <w:rsid w:val="009445BE"/>
    <w:rsid w:val="00952181"/>
    <w:rsid w:val="009A44EC"/>
    <w:rsid w:val="009D1FD3"/>
    <w:rsid w:val="009D47E8"/>
    <w:rsid w:val="009E50DF"/>
    <w:rsid w:val="00A0059F"/>
    <w:rsid w:val="00A54218"/>
    <w:rsid w:val="00A91D05"/>
    <w:rsid w:val="00B73513"/>
    <w:rsid w:val="00BF457A"/>
    <w:rsid w:val="00C00F55"/>
    <w:rsid w:val="00CA3F70"/>
    <w:rsid w:val="00CB1B0F"/>
    <w:rsid w:val="00CC08ED"/>
    <w:rsid w:val="00D520FF"/>
    <w:rsid w:val="00D579B0"/>
    <w:rsid w:val="00D850CB"/>
    <w:rsid w:val="00DD66F1"/>
    <w:rsid w:val="00E224DB"/>
    <w:rsid w:val="00EC3170"/>
    <w:rsid w:val="00ED5438"/>
    <w:rsid w:val="00F71270"/>
    <w:rsid w:val="00FA0F5D"/>
    <w:rsid w:val="00FD18D2"/>
    <w:rsid w:val="0A6F64B8"/>
    <w:rsid w:val="242A900D"/>
    <w:rsid w:val="3406A51A"/>
    <w:rsid w:val="376B5324"/>
    <w:rsid w:val="3B577248"/>
    <w:rsid w:val="3C3A3E2C"/>
    <w:rsid w:val="3CBBCF28"/>
    <w:rsid w:val="4A2B4A3C"/>
    <w:rsid w:val="567DF8C4"/>
    <w:rsid w:val="7151F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7824"/>
  <w15:chartTrackingRefBased/>
  <w15:docId w15:val="{556AAE11-07EE-4329-BA2A-88A24FCA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F55"/>
  </w:style>
  <w:style w:type="paragraph" w:styleId="Heading1">
    <w:name w:val="heading 1"/>
    <w:basedOn w:val="Normal"/>
    <w:next w:val="Normal"/>
    <w:link w:val="Heading1Char"/>
    <w:uiPriority w:val="9"/>
    <w:qFormat/>
    <w:rsid w:val="008F5E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5E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E1F"/>
  </w:style>
  <w:style w:type="paragraph" w:styleId="Footer">
    <w:name w:val="footer"/>
    <w:basedOn w:val="Normal"/>
    <w:link w:val="FooterChar"/>
    <w:uiPriority w:val="99"/>
    <w:unhideWhenUsed/>
    <w:rsid w:val="008F5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E1F"/>
  </w:style>
  <w:style w:type="character" w:customStyle="1" w:styleId="Heading1Char">
    <w:name w:val="Heading 1 Char"/>
    <w:basedOn w:val="DefaultParagraphFont"/>
    <w:link w:val="Heading1"/>
    <w:uiPriority w:val="9"/>
    <w:rsid w:val="008F5E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5E1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91CB7"/>
    <w:rPr>
      <w:sz w:val="16"/>
      <w:szCs w:val="16"/>
    </w:rPr>
  </w:style>
  <w:style w:type="paragraph" w:styleId="CommentText">
    <w:name w:val="annotation text"/>
    <w:basedOn w:val="Normal"/>
    <w:link w:val="CommentTextChar"/>
    <w:uiPriority w:val="99"/>
    <w:semiHidden/>
    <w:unhideWhenUsed/>
    <w:rsid w:val="00691CB7"/>
    <w:pPr>
      <w:spacing w:line="240" w:lineRule="auto"/>
    </w:pPr>
    <w:rPr>
      <w:sz w:val="20"/>
      <w:szCs w:val="20"/>
    </w:rPr>
  </w:style>
  <w:style w:type="character" w:customStyle="1" w:styleId="CommentTextChar">
    <w:name w:val="Comment Text Char"/>
    <w:basedOn w:val="DefaultParagraphFont"/>
    <w:link w:val="CommentText"/>
    <w:uiPriority w:val="99"/>
    <w:semiHidden/>
    <w:rsid w:val="00691CB7"/>
    <w:rPr>
      <w:sz w:val="20"/>
      <w:szCs w:val="20"/>
    </w:rPr>
  </w:style>
  <w:style w:type="paragraph" w:styleId="CommentSubject">
    <w:name w:val="annotation subject"/>
    <w:basedOn w:val="CommentText"/>
    <w:next w:val="CommentText"/>
    <w:link w:val="CommentSubjectChar"/>
    <w:uiPriority w:val="99"/>
    <w:semiHidden/>
    <w:unhideWhenUsed/>
    <w:rsid w:val="00691CB7"/>
    <w:rPr>
      <w:b/>
      <w:bCs/>
    </w:rPr>
  </w:style>
  <w:style w:type="character" w:customStyle="1" w:styleId="CommentSubjectChar">
    <w:name w:val="Comment Subject Char"/>
    <w:basedOn w:val="CommentTextChar"/>
    <w:link w:val="CommentSubject"/>
    <w:uiPriority w:val="99"/>
    <w:semiHidden/>
    <w:rsid w:val="00691CB7"/>
    <w:rPr>
      <w:b/>
      <w:bCs/>
      <w:sz w:val="20"/>
      <w:szCs w:val="20"/>
    </w:rPr>
  </w:style>
  <w:style w:type="paragraph" w:styleId="BalloonText">
    <w:name w:val="Balloon Text"/>
    <w:basedOn w:val="Normal"/>
    <w:link w:val="BalloonTextChar"/>
    <w:uiPriority w:val="99"/>
    <w:semiHidden/>
    <w:unhideWhenUsed/>
    <w:rsid w:val="00691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CB7"/>
    <w:rPr>
      <w:rFonts w:ascii="Segoe UI" w:hAnsi="Segoe UI" w:cs="Segoe UI"/>
      <w:sz w:val="18"/>
      <w:szCs w:val="18"/>
    </w:rPr>
  </w:style>
  <w:style w:type="character" w:styleId="Hyperlink">
    <w:name w:val="Hyperlink"/>
    <w:basedOn w:val="DefaultParagraphFont"/>
    <w:uiPriority w:val="99"/>
    <w:unhideWhenUsed/>
    <w:rsid w:val="002C63C5"/>
    <w:rPr>
      <w:color w:val="0563C1" w:themeColor="hyperlink"/>
      <w:u w:val="single"/>
    </w:rPr>
  </w:style>
  <w:style w:type="character" w:styleId="UnresolvedMention">
    <w:name w:val="Unresolved Mention"/>
    <w:basedOn w:val="DefaultParagraphFont"/>
    <w:uiPriority w:val="99"/>
    <w:semiHidden/>
    <w:unhideWhenUsed/>
    <w:rsid w:val="002C6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40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ubmed.ncbi.nlm.nih.gov/32277950/"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A96497-FE8B-4DF0-A1A1-8EED21C31879}"/>
</file>

<file path=customXml/itemProps2.xml><?xml version="1.0" encoding="utf-8"?>
<ds:datastoreItem xmlns:ds="http://schemas.openxmlformats.org/officeDocument/2006/customXml" ds:itemID="{19E692FB-C964-4B2A-AD51-2DC1EDB69604}"/>
</file>

<file path=customXml/itemProps3.xml><?xml version="1.0" encoding="utf-8"?>
<ds:datastoreItem xmlns:ds="http://schemas.openxmlformats.org/officeDocument/2006/customXml" ds:itemID="{A6094949-8BDE-4678-A395-51B51BC39A23}"/>
</file>

<file path=docProps/app.xml><?xml version="1.0" encoding="utf-8"?>
<Properties xmlns="http://schemas.openxmlformats.org/officeDocument/2006/extended-properties" xmlns:vt="http://schemas.openxmlformats.org/officeDocument/2006/docPropsVTypes">
  <Template>Normal.dotm</Template>
  <TotalTime>3</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Cimone E Parker</cp:lastModifiedBy>
  <cp:revision>6</cp:revision>
  <dcterms:created xsi:type="dcterms:W3CDTF">2021-01-13T00:14:00Z</dcterms:created>
  <dcterms:modified xsi:type="dcterms:W3CDTF">2021-01-13T17:40:00Z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