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E3F38" w:rsidR="00A00737" w:rsidP="35A19519" w:rsidRDefault="00A00737" w14:paraId="11948DC3" w14:textId="77777777">
      <w:pPr>
        <w:spacing w:line="240" w:lineRule="auto"/>
        <w:rPr>
          <w:rFonts w:cs="Calibri" w:cstheme="minorAscii"/>
          <w:b w:val="1"/>
          <w:bCs w:val="1"/>
          <w:color w:val="4472C4" w:themeColor="accent1" w:themeTint="FF" w:themeShade="FF"/>
        </w:rPr>
      </w:pPr>
      <w:r w:rsidRPr="35A19519" w:rsidR="00A00737">
        <w:rPr>
          <w:rFonts w:cs="Calibri" w:cstheme="minorAscii"/>
          <w:b w:val="1"/>
          <w:bCs w:val="1"/>
          <w:color w:val="4472C4" w:themeColor="accent1" w:themeTint="FF" w:themeShade="FF"/>
        </w:rPr>
        <w:t>Evaluation of the Outcomes of Tumor-Based Universal Screening for Lynch Syndrome in Patients with Colorectal Cancer in a Large, Diverse, Community-Based U.S. population</w:t>
      </w:r>
    </w:p>
    <w:p w:rsidRPr="001E3F38" w:rsidR="00A00737" w:rsidP="00B92126" w:rsidRDefault="00A00737" w14:paraId="3C4D7038" w14:textId="3008A886">
      <w:pPr>
        <w:spacing w:line="240" w:lineRule="auto"/>
        <w:rPr>
          <w:rFonts w:cstheme="minorHAnsi"/>
        </w:rPr>
      </w:pPr>
      <w:r w:rsidRPr="001E3F38">
        <w:rPr>
          <w:rFonts w:cstheme="minorHAnsi"/>
        </w:rPr>
        <w:t>Dan Li, Holly A. Carwana, Natalia Udaltsova,</w:t>
      </w:r>
      <w:r w:rsidRPr="001E3F38">
        <w:rPr>
          <w:rFonts w:cstheme="minorHAnsi"/>
          <w:vertAlign w:val="superscript"/>
        </w:rPr>
        <w:t xml:space="preserve"> </w:t>
      </w:r>
      <w:r w:rsidRPr="001E3F38">
        <w:rPr>
          <w:rFonts w:cstheme="minorHAnsi"/>
        </w:rPr>
        <w:t>Elizabeth Hoodfar, Theodore R, Levin, Douglas A. Corley</w:t>
      </w:r>
    </w:p>
    <w:tbl>
      <w:tblPr>
        <w:tblStyle w:val="TableGrid"/>
        <w:tblpPr w:leftFromText="187" w:rightFromText="187" w:vertAnchor="text" w:tblpX="-275" w:tblpY="1"/>
        <w:tblOverlap w:val="never"/>
        <w:tblW w:w="10797" w:type="dxa"/>
        <w:tblLook w:val="04A0" w:firstRow="1" w:lastRow="0" w:firstColumn="1" w:lastColumn="0" w:noHBand="0" w:noVBand="1"/>
      </w:tblPr>
      <w:tblGrid>
        <w:gridCol w:w="1934"/>
        <w:gridCol w:w="8863"/>
      </w:tblGrid>
      <w:tr w:rsidRPr="001E3F38" w:rsidR="008F769E" w:rsidTr="001E3F38" w14:paraId="114D48B4" w14:textId="77777777">
        <w:trPr>
          <w:trHeight w:val="2956"/>
        </w:trPr>
        <w:tc>
          <w:tcPr>
            <w:tcW w:w="1934" w:type="dxa"/>
          </w:tcPr>
          <w:p w:rsidRPr="001E3F38" w:rsidR="00C00F55" w:rsidP="00B92126" w:rsidRDefault="00C00F55" w14:paraId="0C8E8FE0" w14:textId="77777777">
            <w:pPr>
              <w:rPr>
                <w:rFonts w:cstheme="minorHAnsi"/>
              </w:rPr>
            </w:pPr>
            <w:bookmarkStart w:name="_Hlk54105970" w:id="0"/>
            <w:r w:rsidRPr="001E3F38">
              <w:rPr>
                <w:rFonts w:cstheme="minorHAnsi"/>
              </w:rPr>
              <w:t>Challenge</w:t>
            </w:r>
          </w:p>
        </w:tc>
        <w:tc>
          <w:tcPr>
            <w:tcW w:w="8863" w:type="dxa"/>
          </w:tcPr>
          <w:p w:rsidRPr="001E3F38" w:rsidR="00A00737" w:rsidP="00B92126" w:rsidRDefault="00A00737" w14:paraId="6253E0F4" w14:textId="4775BC8E">
            <w:pPr>
              <w:autoSpaceDE w:val="0"/>
              <w:autoSpaceDN w:val="0"/>
              <w:adjustRightInd w:val="0"/>
              <w:rPr>
                <w:rFonts w:eastAsia="AvenirNextLTPro-Regular" w:cstheme="minorHAnsi"/>
              </w:rPr>
            </w:pPr>
            <w:r w:rsidRPr="001E3F38">
              <w:rPr>
                <w:rFonts w:eastAsia="AvenirNextLTPro-Regular" w:cstheme="minorHAnsi"/>
              </w:rPr>
              <w:t>Lynch syndrome is the most common inherited colorectal cancer (CRC) syndrome, caused by pathogenic variants of mismatch repair (MMR) genes (</w:t>
            </w:r>
            <w:r w:rsidRPr="001E3F38">
              <w:rPr>
                <w:rFonts w:cstheme="minorHAnsi"/>
                <w:i/>
                <w:iCs/>
              </w:rPr>
              <w:t>MLH1</w:t>
            </w:r>
            <w:r w:rsidRPr="001E3F38">
              <w:rPr>
                <w:rFonts w:eastAsia="AvenirNextLTPro-Regular" w:cstheme="minorHAnsi"/>
              </w:rPr>
              <w:t xml:space="preserve">, </w:t>
            </w:r>
            <w:r w:rsidRPr="001E3F38">
              <w:rPr>
                <w:rFonts w:cstheme="minorHAnsi"/>
                <w:i/>
                <w:iCs/>
              </w:rPr>
              <w:t>MSH2</w:t>
            </w:r>
            <w:r w:rsidRPr="001E3F38">
              <w:rPr>
                <w:rFonts w:eastAsia="AvenirNextLTPro-Regular" w:cstheme="minorHAnsi"/>
              </w:rPr>
              <w:t>/</w:t>
            </w:r>
            <w:r w:rsidRPr="001E3F38">
              <w:rPr>
                <w:rFonts w:cstheme="minorHAnsi"/>
                <w:i/>
                <w:iCs/>
              </w:rPr>
              <w:t>EPCAM</w:t>
            </w:r>
            <w:r w:rsidRPr="001E3F38">
              <w:rPr>
                <w:rFonts w:eastAsia="AvenirNextLTPro-Regular" w:cstheme="minorHAnsi"/>
              </w:rPr>
              <w:t xml:space="preserve">, </w:t>
            </w:r>
            <w:r w:rsidRPr="001E3F38">
              <w:rPr>
                <w:rFonts w:cstheme="minorHAnsi"/>
                <w:i/>
                <w:iCs/>
              </w:rPr>
              <w:t>MSH6</w:t>
            </w:r>
            <w:r w:rsidRPr="001E3F38">
              <w:rPr>
                <w:rFonts w:eastAsia="AvenirNextLTPro-Regular" w:cstheme="minorHAnsi"/>
              </w:rPr>
              <w:t xml:space="preserve">, and </w:t>
            </w:r>
            <w:r w:rsidRPr="001E3F38">
              <w:rPr>
                <w:rFonts w:cstheme="minorHAnsi"/>
                <w:i/>
                <w:iCs/>
              </w:rPr>
              <w:t>PMS2</w:t>
            </w:r>
            <w:r w:rsidRPr="001E3F38">
              <w:rPr>
                <w:rFonts w:eastAsia="AvenirNextLTPro-Regular" w:cstheme="minorHAnsi"/>
              </w:rPr>
              <w:t>).</w:t>
            </w:r>
            <w:r w:rsidRPr="001E3F38">
              <w:rPr>
                <w:rFonts w:cstheme="minorHAnsi"/>
              </w:rPr>
              <w:t xml:space="preserve"> </w:t>
            </w:r>
            <w:r w:rsidRPr="001E3F38">
              <w:rPr>
                <w:rFonts w:eastAsia="AvenirNextLTPro-Regular" w:cstheme="minorHAnsi"/>
              </w:rPr>
              <w:t xml:space="preserve">Patients with Lynch syndrome have lifetime risk of up to 80% for CRC and up to 60% for endometrial cancer, and lifetime risks for cancer of the prostate, stomach, ovaries, small intestine, hepatobiliary tract, urinary tract, and brain are also markedly elevated. Current professional society guidelines recommend screening all newly diagnosed </w:t>
            </w:r>
            <w:r w:rsidRPr="001E3F38" w:rsidR="001E3F38">
              <w:rPr>
                <w:rFonts w:eastAsia="AvenirNextLTPro-Regular" w:cstheme="minorHAnsi"/>
              </w:rPr>
              <w:t>CRCs</w:t>
            </w:r>
            <w:r w:rsidRPr="001E3F38">
              <w:rPr>
                <w:rFonts w:eastAsia="AvenirNextLTPro-Regular" w:cstheme="minorHAnsi"/>
              </w:rPr>
              <w:t xml:space="preserve"> for Lynch syndrome using immunohistochemistry (IHC) or microsatellite instability testing. However, successful implementation of the universal screening requires an effective collaboration of multiple specialties and can be practically challenging. </w:t>
            </w:r>
          </w:p>
          <w:p w:rsidRPr="001E3F38" w:rsidR="00C00F55" w:rsidP="00B92126" w:rsidRDefault="00C00F55" w14:paraId="27AC1FD0" w14:textId="0DF0BC5F">
            <w:pPr>
              <w:rPr>
                <w:rFonts w:cstheme="minorHAnsi"/>
              </w:rPr>
            </w:pPr>
          </w:p>
        </w:tc>
      </w:tr>
      <w:tr w:rsidRPr="001E3F38" w:rsidR="008F769E" w:rsidTr="3B577248" w14:paraId="1B565E6D" w14:textId="77777777">
        <w:trPr>
          <w:trHeight w:val="710"/>
        </w:trPr>
        <w:tc>
          <w:tcPr>
            <w:tcW w:w="1934" w:type="dxa"/>
          </w:tcPr>
          <w:p w:rsidRPr="001E3F38" w:rsidR="00C00F55" w:rsidP="00B92126" w:rsidRDefault="00C00F55" w14:paraId="5CEAE892" w14:textId="77777777">
            <w:pPr>
              <w:rPr>
                <w:rFonts w:cstheme="minorHAnsi"/>
              </w:rPr>
            </w:pPr>
            <w:r w:rsidRPr="001E3F38">
              <w:rPr>
                <w:rFonts w:cstheme="minorHAnsi"/>
              </w:rPr>
              <w:t>Existing Evidence</w:t>
            </w:r>
          </w:p>
        </w:tc>
        <w:tc>
          <w:tcPr>
            <w:tcW w:w="8863" w:type="dxa"/>
          </w:tcPr>
          <w:p w:rsidRPr="001E3F38" w:rsidR="00C00F55" w:rsidP="00B92126" w:rsidRDefault="00A00737" w14:paraId="3AE9184F" w14:textId="4D28C6C0">
            <w:pPr>
              <w:rPr>
                <w:rFonts w:cstheme="minorHAnsi"/>
              </w:rPr>
            </w:pPr>
            <w:r w:rsidRPr="001E3F38">
              <w:rPr>
                <w:rFonts w:eastAsia="AvenirNextLTPro-Regular" w:cstheme="minorHAnsi"/>
              </w:rPr>
              <w:t>Data regarding the real-world outcomes of universal screening remain very limited, particularly in the community-based setting.</w:t>
            </w:r>
          </w:p>
        </w:tc>
      </w:tr>
      <w:tr w:rsidRPr="001E3F38" w:rsidR="008F769E" w:rsidTr="3B577248" w14:paraId="4508CAEC" w14:textId="77777777">
        <w:trPr>
          <w:trHeight w:val="262"/>
        </w:trPr>
        <w:tc>
          <w:tcPr>
            <w:tcW w:w="1934" w:type="dxa"/>
          </w:tcPr>
          <w:p w:rsidRPr="001E3F38" w:rsidR="00C00F55" w:rsidP="00B92126" w:rsidRDefault="00C00F55" w14:paraId="5B713943" w14:textId="77777777">
            <w:pPr>
              <w:rPr>
                <w:rFonts w:cstheme="minorHAnsi"/>
              </w:rPr>
            </w:pPr>
            <w:r w:rsidRPr="001E3F38">
              <w:rPr>
                <w:rFonts w:cstheme="minorHAnsi"/>
              </w:rPr>
              <w:t>Target Population</w:t>
            </w:r>
          </w:p>
        </w:tc>
        <w:tc>
          <w:tcPr>
            <w:tcW w:w="8863" w:type="dxa"/>
          </w:tcPr>
          <w:p w:rsidRPr="001E3F38" w:rsidR="00C00F55" w:rsidP="00B92126" w:rsidRDefault="00A00737" w14:paraId="21AEABFD" w14:textId="13151A93">
            <w:pPr>
              <w:rPr>
                <w:rFonts w:cstheme="minorHAnsi"/>
              </w:rPr>
            </w:pPr>
            <w:r w:rsidRPr="001E3F38">
              <w:rPr>
                <w:rFonts w:cstheme="minorHAnsi"/>
              </w:rPr>
              <w:t xml:space="preserve">All </w:t>
            </w:r>
            <w:r w:rsidRPr="001E3F38" w:rsidR="001E3F38">
              <w:rPr>
                <w:rFonts w:cstheme="minorHAnsi"/>
              </w:rPr>
              <w:t xml:space="preserve">KPNC </w:t>
            </w:r>
            <w:r w:rsidRPr="001E3F38">
              <w:rPr>
                <w:rFonts w:cstheme="minorHAnsi"/>
              </w:rPr>
              <w:t>patients diagnosed with CRC in 2011-2020</w:t>
            </w:r>
          </w:p>
        </w:tc>
      </w:tr>
      <w:tr w:rsidRPr="001E3F38" w:rsidR="008F769E" w:rsidTr="3B577248" w14:paraId="6BF408F1" w14:textId="77777777">
        <w:trPr>
          <w:trHeight w:val="276"/>
        </w:trPr>
        <w:tc>
          <w:tcPr>
            <w:tcW w:w="1934" w:type="dxa"/>
          </w:tcPr>
          <w:p w:rsidRPr="001E3F38" w:rsidR="00C00F55" w:rsidP="00B92126" w:rsidRDefault="00C00F55" w14:paraId="7D5D9A8B" w14:textId="77777777">
            <w:pPr>
              <w:rPr>
                <w:rFonts w:cstheme="minorHAnsi"/>
              </w:rPr>
            </w:pPr>
            <w:r w:rsidRPr="001E3F38">
              <w:rPr>
                <w:rFonts w:cstheme="minorHAnsi"/>
              </w:rPr>
              <w:t>Intervention or Exposure</w:t>
            </w:r>
          </w:p>
        </w:tc>
        <w:tc>
          <w:tcPr>
            <w:tcW w:w="8863" w:type="dxa"/>
          </w:tcPr>
          <w:p w:rsidRPr="001E3F38" w:rsidR="00C00F55" w:rsidP="00B92126" w:rsidRDefault="00A00737" w14:paraId="0AFECC66" w14:textId="1E128445">
            <w:pPr>
              <w:rPr>
                <w:rFonts w:cstheme="minorHAnsi"/>
              </w:rPr>
            </w:pPr>
            <w:r w:rsidRPr="001E3F38">
              <w:rPr>
                <w:rFonts w:cstheme="minorHAnsi"/>
              </w:rPr>
              <w:t>Screening for Lynch syndrome using reflex tumor-based MMR IHC. BRAF V600E and/or MLH1 promoter methylation testing was considered for MLH1 deficient CRCs to exclude sporadic CRCs.</w:t>
            </w:r>
          </w:p>
        </w:tc>
      </w:tr>
      <w:tr w:rsidRPr="001E3F38" w:rsidR="008F769E" w:rsidTr="3B577248" w14:paraId="0F388BD3" w14:textId="77777777">
        <w:trPr>
          <w:trHeight w:val="2134"/>
        </w:trPr>
        <w:tc>
          <w:tcPr>
            <w:tcW w:w="1934" w:type="dxa"/>
          </w:tcPr>
          <w:p w:rsidRPr="001E3F38" w:rsidR="00C00F55" w:rsidP="00B92126" w:rsidRDefault="00C00F55" w14:paraId="0C0805FB" w14:textId="77777777">
            <w:pPr>
              <w:rPr>
                <w:rFonts w:cstheme="minorHAnsi"/>
              </w:rPr>
            </w:pPr>
            <w:r w:rsidRPr="001E3F38">
              <w:rPr>
                <w:rFonts w:cstheme="minorHAnsi"/>
              </w:rPr>
              <w:t>Outcomes/Key Findings</w:t>
            </w:r>
          </w:p>
        </w:tc>
        <w:tc>
          <w:tcPr>
            <w:tcW w:w="8863" w:type="dxa"/>
          </w:tcPr>
          <w:p w:rsidR="00C72250" w:rsidP="00B92126" w:rsidRDefault="00C72250" w14:paraId="0D5D6DBD" w14:textId="7FD11782">
            <w:pPr>
              <w:pStyle w:val="NormalWeb"/>
              <w:spacing w:before="0" w:beforeAutospacing="0" w:after="0" w:afterAutospacing="0"/>
              <w:rPr>
                <w:rFonts w:asciiTheme="minorHAnsi" w:hAnsiTheme="minorHAnsi" w:cstheme="minorHAnsi"/>
                <w:sz w:val="22"/>
                <w:szCs w:val="22"/>
              </w:rPr>
            </w:pPr>
            <w:r w:rsidRPr="001E3F38">
              <w:rPr>
                <w:rFonts w:cstheme="minorHAnsi"/>
              </w:rPr>
              <w:t>The study showed that successful implementation of tumor-based universal screening for LS using MMR IHC resulted in a substantial increase in the screening rate of over 10 years.</w:t>
            </w:r>
          </w:p>
          <w:p w:rsidR="00C72250" w:rsidP="00B92126" w:rsidRDefault="00C72250" w14:paraId="5AFB9006" w14:textId="77777777">
            <w:pPr>
              <w:pStyle w:val="NormalWeb"/>
              <w:spacing w:before="0" w:beforeAutospacing="0" w:after="0" w:afterAutospacing="0"/>
              <w:rPr>
                <w:rFonts w:asciiTheme="minorHAnsi" w:hAnsiTheme="minorHAnsi" w:cstheme="minorHAnsi"/>
                <w:sz w:val="22"/>
                <w:szCs w:val="22"/>
              </w:rPr>
            </w:pPr>
          </w:p>
          <w:p w:rsidRPr="001E3F38" w:rsidR="00C00F55" w:rsidP="00B92126" w:rsidRDefault="00A00737" w14:paraId="2ADA2E8C" w14:textId="5447A115">
            <w:pPr>
              <w:pStyle w:val="NormalWeb"/>
              <w:spacing w:before="0" w:beforeAutospacing="0" w:after="0" w:afterAutospacing="0"/>
              <w:rPr>
                <w:rFonts w:asciiTheme="minorHAnsi" w:hAnsiTheme="minorHAnsi" w:cstheme="minorHAnsi"/>
                <w:sz w:val="22"/>
                <w:szCs w:val="22"/>
              </w:rPr>
            </w:pPr>
            <w:r w:rsidRPr="001E3F38">
              <w:rPr>
                <w:rFonts w:asciiTheme="minorHAnsi" w:hAnsiTheme="minorHAnsi" w:cstheme="minorHAnsi"/>
                <w:sz w:val="22"/>
                <w:szCs w:val="22"/>
              </w:rPr>
              <w:t>Between 2011-2020, 8,744 patient</w:t>
            </w:r>
            <w:r w:rsidRPr="001E3F38" w:rsidR="001E3F38">
              <w:rPr>
                <w:rFonts w:asciiTheme="minorHAnsi" w:hAnsiTheme="minorHAnsi" w:cstheme="minorHAnsi"/>
                <w:sz w:val="22"/>
                <w:szCs w:val="22"/>
              </w:rPr>
              <w:t>s</w:t>
            </w:r>
            <w:r w:rsidRPr="001E3F38">
              <w:rPr>
                <w:rFonts w:asciiTheme="minorHAnsi" w:hAnsiTheme="minorHAnsi" w:cstheme="minorHAnsi"/>
                <w:sz w:val="22"/>
                <w:szCs w:val="22"/>
              </w:rPr>
              <w:t xml:space="preserve"> with CRC were screened for Lynch syndrome using MMR IHC of CRC tumors. The percentages of CRCs with normal MMR IHC, MLH1/PMS2 deficiency, MSH2/MSH6 deficiency, MLH1 deficiency only, MSH2 deficiency only, MSH6 deficiency only, and PMS2 deficiency only were 84.3%, 11.1%, 0.8%, 0.1%, 0.3%, 0.4%, and 0.9%, respectively.  The percentage of CRC tumors screened increased from 22.2% in 2011 to 92.0% in 2020 for all CRCs and from 23.0% in 2011 to 93.3% in 2020 for invasive CRCs. The rate of germline testing increased from 2.4% in 2011 to 20.9% in 2020 for all CRCs. One-hundred and eighty-eight patients (2.2%) were diagnosed with Lynch syndrome by germline analysis. Seventy-nine (0.9%), 1062 (12.1%) and 701 (8.0%) were diagnosed with variant of uncertain significance, Lynch-like syndrome, and sporadic CRC with MLH1 deficiency, respectively. </w:t>
            </w:r>
          </w:p>
        </w:tc>
      </w:tr>
      <w:tr w:rsidRPr="001E3F38" w:rsidR="008F769E" w:rsidTr="3B577248" w14:paraId="28982E72" w14:textId="77777777">
        <w:trPr>
          <w:trHeight w:val="622"/>
        </w:trPr>
        <w:tc>
          <w:tcPr>
            <w:tcW w:w="1934" w:type="dxa"/>
          </w:tcPr>
          <w:p w:rsidRPr="001E3F38" w:rsidR="00C00F55" w:rsidP="00B92126" w:rsidRDefault="00C00F55" w14:paraId="0758E4C3" w14:textId="77777777">
            <w:pPr>
              <w:rPr>
                <w:rFonts w:cstheme="minorHAnsi"/>
              </w:rPr>
            </w:pPr>
            <w:r w:rsidRPr="001E3F38">
              <w:rPr>
                <w:rFonts w:cstheme="minorHAnsi"/>
              </w:rPr>
              <w:t>Resulting Action/Change</w:t>
            </w:r>
          </w:p>
        </w:tc>
        <w:tc>
          <w:tcPr>
            <w:tcW w:w="8863" w:type="dxa"/>
          </w:tcPr>
          <w:p w:rsidRPr="001E3F38" w:rsidR="00C00F55" w:rsidP="00B92126" w:rsidRDefault="00B92126" w14:paraId="35A57C24" w14:textId="07B81C96">
            <w:pPr>
              <w:rPr>
                <w:rFonts w:cstheme="minorHAnsi"/>
              </w:rPr>
            </w:pPr>
            <w:r w:rsidRPr="001E3F38">
              <w:rPr>
                <w:rFonts w:cstheme="minorHAnsi"/>
              </w:rPr>
              <w:t>The findings</w:t>
            </w:r>
            <w:r w:rsidR="006B04BF">
              <w:rPr>
                <w:rFonts w:cstheme="minorHAnsi"/>
              </w:rPr>
              <w:t xml:space="preserve">, from the largest dataset of outcomes of universal screening in a diverse US population, </w:t>
            </w:r>
            <w:r w:rsidRPr="001E3F38">
              <w:rPr>
                <w:rFonts w:cstheme="minorHAnsi"/>
              </w:rPr>
              <w:t>will inform strategies to promote universal screening for Lynch syndrome nationwide.</w:t>
            </w:r>
            <w:r w:rsidR="0007045F">
              <w:rPr>
                <w:rFonts w:cstheme="minorHAnsi"/>
              </w:rPr>
              <w:t xml:space="preserve"> </w:t>
            </w:r>
          </w:p>
        </w:tc>
      </w:tr>
      <w:tr w:rsidRPr="001E3F38" w:rsidR="008F769E" w:rsidTr="3B577248" w14:paraId="7A183D36" w14:textId="77777777">
        <w:trPr>
          <w:trHeight w:val="710"/>
        </w:trPr>
        <w:tc>
          <w:tcPr>
            <w:tcW w:w="1934" w:type="dxa"/>
          </w:tcPr>
          <w:p w:rsidRPr="001E3F38" w:rsidR="00C00F55" w:rsidP="00B92126" w:rsidRDefault="00C00F55" w14:paraId="713A9C2F" w14:textId="3C957F65">
            <w:pPr>
              <w:rPr>
                <w:rFonts w:cstheme="minorHAnsi"/>
              </w:rPr>
            </w:pPr>
            <w:r w:rsidRPr="001E3F38">
              <w:rPr>
                <w:rFonts w:cstheme="minorHAnsi"/>
              </w:rPr>
              <w:t>Implementation Tools</w:t>
            </w:r>
          </w:p>
        </w:tc>
        <w:tc>
          <w:tcPr>
            <w:tcW w:w="8863" w:type="dxa"/>
          </w:tcPr>
          <w:p w:rsidRPr="001E3F38" w:rsidR="00C00F55" w:rsidP="00B92126" w:rsidRDefault="00B92126" w14:paraId="7086AFEE" w14:textId="6728E013">
            <w:pPr>
              <w:rPr>
                <w:rFonts w:cstheme="minorHAnsi"/>
              </w:rPr>
            </w:pPr>
            <w:r w:rsidRPr="001E3F38">
              <w:rPr>
                <w:rFonts w:cstheme="minorHAnsi"/>
              </w:rPr>
              <w:t xml:space="preserve">The percentage of screened CRCs among all CRCs can be used as a quality metric for local facility, pathology and Genetics department to increase the screening rate in the future. </w:t>
            </w:r>
          </w:p>
        </w:tc>
      </w:tr>
      <w:tr w:rsidRPr="001E3F38" w:rsidR="008F769E" w:rsidTr="3B577248" w14:paraId="4E70A877" w14:textId="77777777">
        <w:trPr>
          <w:trHeight w:val="552"/>
        </w:trPr>
        <w:tc>
          <w:tcPr>
            <w:tcW w:w="1934" w:type="dxa"/>
          </w:tcPr>
          <w:p w:rsidRPr="001E3F38" w:rsidR="00C00F55" w:rsidP="00B92126" w:rsidRDefault="00FD18D2" w14:paraId="0EF13549" w14:textId="4DA44143">
            <w:pPr>
              <w:rPr>
                <w:rFonts w:cstheme="minorHAnsi"/>
              </w:rPr>
            </w:pPr>
            <w:r w:rsidRPr="001E3F38">
              <w:rPr>
                <w:rFonts w:cstheme="minorHAnsi"/>
              </w:rPr>
              <w:t>Implementation and follow-up measurements</w:t>
            </w:r>
          </w:p>
        </w:tc>
        <w:tc>
          <w:tcPr>
            <w:tcW w:w="8863" w:type="dxa"/>
          </w:tcPr>
          <w:p w:rsidRPr="001E3F38" w:rsidR="00C00F55" w:rsidP="00B92126" w:rsidRDefault="00A67653" w14:paraId="5695DDF3" w14:textId="3F438BC2">
            <w:pPr>
              <w:rPr>
                <w:rFonts w:cstheme="minorHAnsi"/>
              </w:rPr>
            </w:pPr>
            <w:r>
              <w:rPr>
                <w:rFonts w:cstheme="minorHAnsi"/>
              </w:rPr>
              <w:t>T</w:t>
            </w:r>
            <w:r w:rsidRPr="001E3F38" w:rsidR="00B92126">
              <w:rPr>
                <w:rFonts w:cstheme="minorHAnsi"/>
              </w:rPr>
              <w:t xml:space="preserve">he percentages of screening among all CRCs periodically for quality improvement. </w:t>
            </w:r>
          </w:p>
        </w:tc>
      </w:tr>
      <w:tr w:rsidRPr="001E3F38" w:rsidR="008F769E" w:rsidTr="3B577248" w14:paraId="6911A7DF" w14:textId="77777777">
        <w:trPr>
          <w:trHeight w:val="538"/>
        </w:trPr>
        <w:tc>
          <w:tcPr>
            <w:tcW w:w="1934" w:type="dxa"/>
          </w:tcPr>
          <w:p w:rsidRPr="001E3F38" w:rsidR="008F5E1F" w:rsidP="00B92126" w:rsidRDefault="00C00F55" w14:paraId="1E297986" w14:textId="0E22F10B">
            <w:pPr>
              <w:rPr>
                <w:rFonts w:cstheme="minorHAnsi"/>
              </w:rPr>
            </w:pPr>
            <w:r w:rsidRPr="001E3F38">
              <w:rPr>
                <w:rFonts w:cstheme="minorHAnsi"/>
              </w:rPr>
              <w:t>Reference(s) [Key Figure if applicable]</w:t>
            </w:r>
          </w:p>
        </w:tc>
        <w:tc>
          <w:tcPr>
            <w:tcW w:w="8863" w:type="dxa"/>
          </w:tcPr>
          <w:p w:rsidRPr="001E3F38" w:rsidR="3C3A3E2C" w:rsidP="00B92126" w:rsidRDefault="3C3A3E2C" w14:paraId="1C2E7843" w14:textId="476919D1">
            <w:pPr>
              <w:rPr>
                <w:rFonts w:cstheme="minorHAnsi"/>
              </w:rPr>
            </w:pPr>
          </w:p>
          <w:p w:rsidRPr="001E3F38" w:rsidR="002C63C5" w:rsidP="00B92126" w:rsidRDefault="00B92126" w14:paraId="3827C732" w14:textId="2178746B">
            <w:pPr>
              <w:rPr>
                <w:rFonts w:cstheme="minorHAnsi"/>
              </w:rPr>
            </w:pPr>
            <w:r w:rsidRPr="001E3F38">
              <w:rPr>
                <w:rFonts w:cstheme="minorHAnsi"/>
                <w:noProof/>
              </w:rPr>
              <w:lastRenderedPageBreak/>
              <w:drawing>
                <wp:inline distT="0" distB="0" distL="0" distR="0" wp14:anchorId="25A29FDB" wp14:editId="7AD03B1B">
                  <wp:extent cx="5081270" cy="33858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1270" cy="3385820"/>
                          </a:xfrm>
                          <a:prstGeom prst="rect">
                            <a:avLst/>
                          </a:prstGeom>
                          <a:noFill/>
                          <a:ln>
                            <a:noFill/>
                          </a:ln>
                        </pic:spPr>
                      </pic:pic>
                    </a:graphicData>
                  </a:graphic>
                </wp:inline>
              </w:drawing>
            </w:r>
          </w:p>
        </w:tc>
      </w:tr>
      <w:bookmarkEnd w:id="0"/>
    </w:tbl>
    <w:p w:rsidRPr="001E3F38" w:rsidR="009445BE" w:rsidP="00B92126" w:rsidRDefault="009445BE" w14:paraId="51C58CFA" w14:textId="60CCE994">
      <w:pPr>
        <w:spacing w:after="0" w:line="240" w:lineRule="auto"/>
        <w:rPr>
          <w:rFonts w:cstheme="minorHAnsi"/>
        </w:rPr>
      </w:pPr>
    </w:p>
    <w:sectPr w:rsidRPr="001E3F38" w:rsidR="009445BE" w:rsidSect="00797272">
      <w:head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63A4" w:rsidP="008F5E1F" w:rsidRDefault="006963A4" w14:paraId="7048F82E" w14:textId="77777777">
      <w:pPr>
        <w:spacing w:after="0" w:line="240" w:lineRule="auto"/>
      </w:pPr>
      <w:r>
        <w:separator/>
      </w:r>
    </w:p>
  </w:endnote>
  <w:endnote w:type="continuationSeparator" w:id="0">
    <w:p w:rsidR="006963A4" w:rsidP="008F5E1F" w:rsidRDefault="006963A4" w14:paraId="73B0454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venirNextLTPro-Regular">
    <w:altName w:val="Yu Gothic"/>
    <w:panose1 w:val="00000000000000000000"/>
    <w:charset w:val="80"/>
    <w:family w:val="auto"/>
    <w:notTrueType/>
    <w:pitch w:val="default"/>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63A4" w:rsidP="008F5E1F" w:rsidRDefault="006963A4" w14:paraId="596E3EFA" w14:textId="77777777">
      <w:pPr>
        <w:spacing w:after="0" w:line="240" w:lineRule="auto"/>
      </w:pPr>
      <w:r>
        <w:separator/>
      </w:r>
    </w:p>
  </w:footnote>
  <w:footnote w:type="continuationSeparator" w:id="0">
    <w:p w:rsidR="006963A4" w:rsidP="008F5E1F" w:rsidRDefault="006963A4" w14:paraId="53960C9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1CB7" w:rsidRDefault="00691CB7" w14:paraId="787D8DA9" w14:textId="7EBF3983">
    <w:pPr>
      <w:pStyle w:val="Header"/>
    </w:pPr>
    <w:r>
      <w:t>Physician Researcher Program (PRP)</w:t>
    </w:r>
  </w:p>
  <w:p w:rsidR="00691CB7" w:rsidRDefault="00691CB7" w14:paraId="1F70BCF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2BE"/>
    <w:multiLevelType w:val="hybridMultilevel"/>
    <w:tmpl w:val="47668566"/>
    <w:lvl w:ilvl="0" w:tplc="E20204DA">
      <w:start w:val="1"/>
      <w:numFmt w:val="bullet"/>
      <w:lvlText w:val=""/>
      <w:lvlJc w:val="left"/>
      <w:pPr>
        <w:ind w:left="1080" w:hanging="360"/>
      </w:pPr>
      <w:rPr>
        <w:rFonts w:ascii="Symbol" w:hAnsi="Symbol"/>
      </w:rPr>
    </w:lvl>
    <w:lvl w:ilvl="1" w:tplc="FE245C60">
      <w:start w:val="1"/>
      <w:numFmt w:val="bullet"/>
      <w:lvlText w:val=""/>
      <w:lvlJc w:val="left"/>
      <w:pPr>
        <w:ind w:left="1440" w:hanging="360"/>
      </w:pPr>
      <w:rPr>
        <w:rFonts w:ascii="Symbol" w:hAnsi="Symbol"/>
      </w:rPr>
    </w:lvl>
    <w:lvl w:ilvl="2" w:tplc="6F8E195E">
      <w:start w:val="1"/>
      <w:numFmt w:val="bullet"/>
      <w:lvlText w:val=""/>
      <w:lvlJc w:val="left"/>
      <w:pPr>
        <w:ind w:left="1080" w:hanging="360"/>
      </w:pPr>
      <w:rPr>
        <w:rFonts w:ascii="Symbol" w:hAnsi="Symbol"/>
      </w:rPr>
    </w:lvl>
    <w:lvl w:ilvl="3" w:tplc="7B82B3C4">
      <w:start w:val="1"/>
      <w:numFmt w:val="bullet"/>
      <w:lvlText w:val=""/>
      <w:lvlJc w:val="left"/>
      <w:pPr>
        <w:ind w:left="1080" w:hanging="360"/>
      </w:pPr>
      <w:rPr>
        <w:rFonts w:ascii="Symbol" w:hAnsi="Symbol"/>
      </w:rPr>
    </w:lvl>
    <w:lvl w:ilvl="4" w:tplc="FF4EFCF2">
      <w:start w:val="1"/>
      <w:numFmt w:val="bullet"/>
      <w:lvlText w:val=""/>
      <w:lvlJc w:val="left"/>
      <w:pPr>
        <w:ind w:left="1080" w:hanging="360"/>
      </w:pPr>
      <w:rPr>
        <w:rFonts w:ascii="Symbol" w:hAnsi="Symbol"/>
      </w:rPr>
    </w:lvl>
    <w:lvl w:ilvl="5" w:tplc="7EFA9D36">
      <w:start w:val="1"/>
      <w:numFmt w:val="bullet"/>
      <w:lvlText w:val=""/>
      <w:lvlJc w:val="left"/>
      <w:pPr>
        <w:ind w:left="1080" w:hanging="360"/>
      </w:pPr>
      <w:rPr>
        <w:rFonts w:ascii="Symbol" w:hAnsi="Symbol"/>
      </w:rPr>
    </w:lvl>
    <w:lvl w:ilvl="6" w:tplc="A948D3F2">
      <w:start w:val="1"/>
      <w:numFmt w:val="bullet"/>
      <w:lvlText w:val=""/>
      <w:lvlJc w:val="left"/>
      <w:pPr>
        <w:ind w:left="1080" w:hanging="360"/>
      </w:pPr>
      <w:rPr>
        <w:rFonts w:ascii="Symbol" w:hAnsi="Symbol"/>
      </w:rPr>
    </w:lvl>
    <w:lvl w:ilvl="7" w:tplc="684E1694">
      <w:start w:val="1"/>
      <w:numFmt w:val="bullet"/>
      <w:lvlText w:val=""/>
      <w:lvlJc w:val="left"/>
      <w:pPr>
        <w:ind w:left="1080" w:hanging="360"/>
      </w:pPr>
      <w:rPr>
        <w:rFonts w:ascii="Symbol" w:hAnsi="Symbol"/>
      </w:rPr>
    </w:lvl>
    <w:lvl w:ilvl="8" w:tplc="83749604">
      <w:start w:val="1"/>
      <w:numFmt w:val="bullet"/>
      <w:lvlText w:val=""/>
      <w:lvlJc w:val="left"/>
      <w:pPr>
        <w:ind w:left="1080" w:hanging="360"/>
      </w:pPr>
      <w:rPr>
        <w:rFonts w:ascii="Symbol" w:hAnsi="Symbol"/>
      </w:rPr>
    </w:lvl>
  </w:abstractNum>
  <w:abstractNum w:abstractNumId="1" w15:restartNumberingAfterBreak="0">
    <w:nsid w:val="1B414C0A"/>
    <w:multiLevelType w:val="hybridMultilevel"/>
    <w:tmpl w:val="C9FA0354"/>
    <w:lvl w:ilvl="0" w:tplc="06C2AC5C">
      <w:start w:val="1"/>
      <w:numFmt w:val="bullet"/>
      <w:lvlText w:val=""/>
      <w:lvlJc w:val="left"/>
      <w:pPr>
        <w:ind w:left="1080" w:hanging="360"/>
      </w:pPr>
      <w:rPr>
        <w:rFonts w:ascii="Symbol" w:hAnsi="Symbol"/>
      </w:rPr>
    </w:lvl>
    <w:lvl w:ilvl="1" w:tplc="DB7E09FE">
      <w:start w:val="1"/>
      <w:numFmt w:val="bullet"/>
      <w:lvlText w:val=""/>
      <w:lvlJc w:val="left"/>
      <w:pPr>
        <w:ind w:left="1080" w:hanging="360"/>
      </w:pPr>
      <w:rPr>
        <w:rFonts w:ascii="Symbol" w:hAnsi="Symbol"/>
      </w:rPr>
    </w:lvl>
    <w:lvl w:ilvl="2" w:tplc="BD04F88C">
      <w:start w:val="1"/>
      <w:numFmt w:val="bullet"/>
      <w:lvlText w:val=""/>
      <w:lvlJc w:val="left"/>
      <w:pPr>
        <w:ind w:left="1080" w:hanging="360"/>
      </w:pPr>
      <w:rPr>
        <w:rFonts w:ascii="Symbol" w:hAnsi="Symbol"/>
      </w:rPr>
    </w:lvl>
    <w:lvl w:ilvl="3" w:tplc="CFEC2478">
      <w:start w:val="1"/>
      <w:numFmt w:val="bullet"/>
      <w:lvlText w:val=""/>
      <w:lvlJc w:val="left"/>
      <w:pPr>
        <w:ind w:left="1080" w:hanging="360"/>
      </w:pPr>
      <w:rPr>
        <w:rFonts w:ascii="Symbol" w:hAnsi="Symbol"/>
      </w:rPr>
    </w:lvl>
    <w:lvl w:ilvl="4" w:tplc="7A7419F8">
      <w:start w:val="1"/>
      <w:numFmt w:val="bullet"/>
      <w:lvlText w:val=""/>
      <w:lvlJc w:val="left"/>
      <w:pPr>
        <w:ind w:left="1080" w:hanging="360"/>
      </w:pPr>
      <w:rPr>
        <w:rFonts w:ascii="Symbol" w:hAnsi="Symbol"/>
      </w:rPr>
    </w:lvl>
    <w:lvl w:ilvl="5" w:tplc="B0181988">
      <w:start w:val="1"/>
      <w:numFmt w:val="bullet"/>
      <w:lvlText w:val=""/>
      <w:lvlJc w:val="left"/>
      <w:pPr>
        <w:ind w:left="1080" w:hanging="360"/>
      </w:pPr>
      <w:rPr>
        <w:rFonts w:ascii="Symbol" w:hAnsi="Symbol"/>
      </w:rPr>
    </w:lvl>
    <w:lvl w:ilvl="6" w:tplc="F2F8A9CA">
      <w:start w:val="1"/>
      <w:numFmt w:val="bullet"/>
      <w:lvlText w:val=""/>
      <w:lvlJc w:val="left"/>
      <w:pPr>
        <w:ind w:left="1080" w:hanging="360"/>
      </w:pPr>
      <w:rPr>
        <w:rFonts w:ascii="Symbol" w:hAnsi="Symbol"/>
      </w:rPr>
    </w:lvl>
    <w:lvl w:ilvl="7" w:tplc="33C46606">
      <w:start w:val="1"/>
      <w:numFmt w:val="bullet"/>
      <w:lvlText w:val=""/>
      <w:lvlJc w:val="left"/>
      <w:pPr>
        <w:ind w:left="1080" w:hanging="360"/>
      </w:pPr>
      <w:rPr>
        <w:rFonts w:ascii="Symbol" w:hAnsi="Symbol"/>
      </w:rPr>
    </w:lvl>
    <w:lvl w:ilvl="8" w:tplc="6B0E9110">
      <w:start w:val="1"/>
      <w:numFmt w:val="bullet"/>
      <w:lvlText w:val=""/>
      <w:lvlJc w:val="left"/>
      <w:pPr>
        <w:ind w:left="1080" w:hanging="360"/>
      </w:pPr>
      <w:rPr>
        <w:rFonts w:ascii="Symbol" w:hAnsi="Symbol"/>
      </w:rPr>
    </w:lvl>
  </w:abstractNum>
  <w:abstractNum w:abstractNumId="2" w15:restartNumberingAfterBreak="0">
    <w:nsid w:val="2EE54989"/>
    <w:multiLevelType w:val="hybridMultilevel"/>
    <w:tmpl w:val="B794476A"/>
    <w:lvl w:ilvl="0" w:tplc="131EE106">
      <w:start w:val="1"/>
      <w:numFmt w:val="bullet"/>
      <w:lvlText w:val=""/>
      <w:lvlJc w:val="left"/>
      <w:pPr>
        <w:ind w:left="1080" w:hanging="360"/>
      </w:pPr>
      <w:rPr>
        <w:rFonts w:ascii="Symbol" w:hAnsi="Symbol"/>
      </w:rPr>
    </w:lvl>
    <w:lvl w:ilvl="1" w:tplc="287EEF72">
      <w:start w:val="1"/>
      <w:numFmt w:val="bullet"/>
      <w:lvlText w:val=""/>
      <w:lvlJc w:val="left"/>
      <w:pPr>
        <w:ind w:left="1080" w:hanging="360"/>
      </w:pPr>
      <w:rPr>
        <w:rFonts w:ascii="Symbol" w:hAnsi="Symbol"/>
      </w:rPr>
    </w:lvl>
    <w:lvl w:ilvl="2" w:tplc="8E42F044">
      <w:start w:val="1"/>
      <w:numFmt w:val="bullet"/>
      <w:lvlText w:val=""/>
      <w:lvlJc w:val="left"/>
      <w:pPr>
        <w:ind w:left="1080" w:hanging="360"/>
      </w:pPr>
      <w:rPr>
        <w:rFonts w:ascii="Symbol" w:hAnsi="Symbol"/>
      </w:rPr>
    </w:lvl>
    <w:lvl w:ilvl="3" w:tplc="274ACB38">
      <w:start w:val="1"/>
      <w:numFmt w:val="bullet"/>
      <w:lvlText w:val=""/>
      <w:lvlJc w:val="left"/>
      <w:pPr>
        <w:ind w:left="1080" w:hanging="360"/>
      </w:pPr>
      <w:rPr>
        <w:rFonts w:ascii="Symbol" w:hAnsi="Symbol"/>
      </w:rPr>
    </w:lvl>
    <w:lvl w:ilvl="4" w:tplc="BDD41EE8">
      <w:start w:val="1"/>
      <w:numFmt w:val="bullet"/>
      <w:lvlText w:val=""/>
      <w:lvlJc w:val="left"/>
      <w:pPr>
        <w:ind w:left="1080" w:hanging="360"/>
      </w:pPr>
      <w:rPr>
        <w:rFonts w:ascii="Symbol" w:hAnsi="Symbol"/>
      </w:rPr>
    </w:lvl>
    <w:lvl w:ilvl="5" w:tplc="ECCAB366">
      <w:start w:val="1"/>
      <w:numFmt w:val="bullet"/>
      <w:lvlText w:val=""/>
      <w:lvlJc w:val="left"/>
      <w:pPr>
        <w:ind w:left="1080" w:hanging="360"/>
      </w:pPr>
      <w:rPr>
        <w:rFonts w:ascii="Symbol" w:hAnsi="Symbol"/>
      </w:rPr>
    </w:lvl>
    <w:lvl w:ilvl="6" w:tplc="EB641D5C">
      <w:start w:val="1"/>
      <w:numFmt w:val="bullet"/>
      <w:lvlText w:val=""/>
      <w:lvlJc w:val="left"/>
      <w:pPr>
        <w:ind w:left="1080" w:hanging="360"/>
      </w:pPr>
      <w:rPr>
        <w:rFonts w:ascii="Symbol" w:hAnsi="Symbol"/>
      </w:rPr>
    </w:lvl>
    <w:lvl w:ilvl="7" w:tplc="D69815DA">
      <w:start w:val="1"/>
      <w:numFmt w:val="bullet"/>
      <w:lvlText w:val=""/>
      <w:lvlJc w:val="left"/>
      <w:pPr>
        <w:ind w:left="1080" w:hanging="360"/>
      </w:pPr>
      <w:rPr>
        <w:rFonts w:ascii="Symbol" w:hAnsi="Symbol"/>
      </w:rPr>
    </w:lvl>
    <w:lvl w:ilvl="8" w:tplc="92069D40">
      <w:start w:val="1"/>
      <w:numFmt w:val="bullet"/>
      <w:lvlText w:val=""/>
      <w:lvlJc w:val="left"/>
      <w:pPr>
        <w:ind w:left="1080" w:hanging="360"/>
      </w:pPr>
      <w:rPr>
        <w:rFonts w:ascii="Symbol" w:hAnsi="Symbol"/>
      </w:rPr>
    </w:lvl>
  </w:abstractNum>
  <w:abstractNum w:abstractNumId="3" w15:restartNumberingAfterBreak="0">
    <w:nsid w:val="77D04B02"/>
    <w:multiLevelType w:val="hybridMultilevel"/>
    <w:tmpl w:val="AE64E652"/>
    <w:lvl w:ilvl="0" w:tplc="BF828992">
      <w:start w:val="1"/>
      <w:numFmt w:val="bullet"/>
      <w:lvlText w:val=""/>
      <w:lvlJc w:val="left"/>
      <w:pPr>
        <w:ind w:left="1080" w:hanging="360"/>
      </w:pPr>
      <w:rPr>
        <w:rFonts w:ascii="Symbol" w:hAnsi="Symbol"/>
      </w:rPr>
    </w:lvl>
    <w:lvl w:ilvl="1" w:tplc="86DAD86A">
      <w:start w:val="1"/>
      <w:numFmt w:val="bullet"/>
      <w:lvlText w:val=""/>
      <w:lvlJc w:val="left"/>
      <w:pPr>
        <w:ind w:left="1440" w:hanging="360"/>
      </w:pPr>
      <w:rPr>
        <w:rFonts w:ascii="Symbol" w:hAnsi="Symbol"/>
      </w:rPr>
    </w:lvl>
    <w:lvl w:ilvl="2" w:tplc="8BE44E5C">
      <w:start w:val="1"/>
      <w:numFmt w:val="bullet"/>
      <w:lvlText w:val=""/>
      <w:lvlJc w:val="left"/>
      <w:pPr>
        <w:ind w:left="1080" w:hanging="360"/>
      </w:pPr>
      <w:rPr>
        <w:rFonts w:ascii="Symbol" w:hAnsi="Symbol"/>
      </w:rPr>
    </w:lvl>
    <w:lvl w:ilvl="3" w:tplc="717E6B0E">
      <w:start w:val="1"/>
      <w:numFmt w:val="bullet"/>
      <w:lvlText w:val=""/>
      <w:lvlJc w:val="left"/>
      <w:pPr>
        <w:ind w:left="1080" w:hanging="360"/>
      </w:pPr>
      <w:rPr>
        <w:rFonts w:ascii="Symbol" w:hAnsi="Symbol"/>
      </w:rPr>
    </w:lvl>
    <w:lvl w:ilvl="4" w:tplc="78AA9078">
      <w:start w:val="1"/>
      <w:numFmt w:val="bullet"/>
      <w:lvlText w:val=""/>
      <w:lvlJc w:val="left"/>
      <w:pPr>
        <w:ind w:left="1080" w:hanging="360"/>
      </w:pPr>
      <w:rPr>
        <w:rFonts w:ascii="Symbol" w:hAnsi="Symbol"/>
      </w:rPr>
    </w:lvl>
    <w:lvl w:ilvl="5" w:tplc="C04CB428">
      <w:start w:val="1"/>
      <w:numFmt w:val="bullet"/>
      <w:lvlText w:val=""/>
      <w:lvlJc w:val="left"/>
      <w:pPr>
        <w:ind w:left="1080" w:hanging="360"/>
      </w:pPr>
      <w:rPr>
        <w:rFonts w:ascii="Symbol" w:hAnsi="Symbol"/>
      </w:rPr>
    </w:lvl>
    <w:lvl w:ilvl="6" w:tplc="19567AA8">
      <w:start w:val="1"/>
      <w:numFmt w:val="bullet"/>
      <w:lvlText w:val=""/>
      <w:lvlJc w:val="left"/>
      <w:pPr>
        <w:ind w:left="1080" w:hanging="360"/>
      </w:pPr>
      <w:rPr>
        <w:rFonts w:ascii="Symbol" w:hAnsi="Symbol"/>
      </w:rPr>
    </w:lvl>
    <w:lvl w:ilvl="7" w:tplc="09787BF0">
      <w:start w:val="1"/>
      <w:numFmt w:val="bullet"/>
      <w:lvlText w:val=""/>
      <w:lvlJc w:val="left"/>
      <w:pPr>
        <w:ind w:left="1080" w:hanging="360"/>
      </w:pPr>
      <w:rPr>
        <w:rFonts w:ascii="Symbol" w:hAnsi="Symbol"/>
      </w:rPr>
    </w:lvl>
    <w:lvl w:ilvl="8" w:tplc="45CE5D46">
      <w:start w:val="1"/>
      <w:numFmt w:val="bullet"/>
      <w:lvlText w:val=""/>
      <w:lvlJc w:val="left"/>
      <w:pPr>
        <w:ind w:left="1080" w:hanging="360"/>
      </w:pPr>
      <w:rPr>
        <w:rFonts w:ascii="Symbol" w:hAnsi="Symbol"/>
      </w:rPr>
    </w:lvl>
  </w:abstractNum>
  <w:num w:numId="1" w16cid:durableId="1236016536">
    <w:abstractNumId w:val="2"/>
  </w:num>
  <w:num w:numId="2" w16cid:durableId="913466369">
    <w:abstractNumId w:val="1"/>
  </w:num>
  <w:num w:numId="3" w16cid:durableId="357126090">
    <w:abstractNumId w:val="0"/>
  </w:num>
  <w:num w:numId="4" w16cid:durableId="1240210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55"/>
    <w:rsid w:val="0002253F"/>
    <w:rsid w:val="00050D57"/>
    <w:rsid w:val="0007045F"/>
    <w:rsid w:val="00075AB2"/>
    <w:rsid w:val="000F356B"/>
    <w:rsid w:val="00107CCA"/>
    <w:rsid w:val="001426D0"/>
    <w:rsid w:val="001B5116"/>
    <w:rsid w:val="001C033A"/>
    <w:rsid w:val="001E3F38"/>
    <w:rsid w:val="0026407F"/>
    <w:rsid w:val="002C63C5"/>
    <w:rsid w:val="002E6568"/>
    <w:rsid w:val="00391091"/>
    <w:rsid w:val="00464249"/>
    <w:rsid w:val="004E023F"/>
    <w:rsid w:val="004E06E6"/>
    <w:rsid w:val="0051310B"/>
    <w:rsid w:val="00561255"/>
    <w:rsid w:val="005974DD"/>
    <w:rsid w:val="005C233A"/>
    <w:rsid w:val="006235BF"/>
    <w:rsid w:val="00691CB7"/>
    <w:rsid w:val="006963A4"/>
    <w:rsid w:val="006B04BF"/>
    <w:rsid w:val="006B0732"/>
    <w:rsid w:val="007420BF"/>
    <w:rsid w:val="00797272"/>
    <w:rsid w:val="007C44D8"/>
    <w:rsid w:val="00824F0A"/>
    <w:rsid w:val="00845393"/>
    <w:rsid w:val="008513C2"/>
    <w:rsid w:val="00860F32"/>
    <w:rsid w:val="00861A13"/>
    <w:rsid w:val="00887507"/>
    <w:rsid w:val="0089559F"/>
    <w:rsid w:val="00896042"/>
    <w:rsid w:val="008A32C7"/>
    <w:rsid w:val="008E6DBC"/>
    <w:rsid w:val="008F5E1F"/>
    <w:rsid w:val="008F769E"/>
    <w:rsid w:val="009445BE"/>
    <w:rsid w:val="00952181"/>
    <w:rsid w:val="009A44EC"/>
    <w:rsid w:val="009D1FD3"/>
    <w:rsid w:val="009D47E8"/>
    <w:rsid w:val="009E50DF"/>
    <w:rsid w:val="00A0059F"/>
    <w:rsid w:val="00A00737"/>
    <w:rsid w:val="00A54218"/>
    <w:rsid w:val="00A67653"/>
    <w:rsid w:val="00A91D05"/>
    <w:rsid w:val="00B12BA3"/>
    <w:rsid w:val="00B73513"/>
    <w:rsid w:val="00B92126"/>
    <w:rsid w:val="00BF457A"/>
    <w:rsid w:val="00C00F55"/>
    <w:rsid w:val="00C72250"/>
    <w:rsid w:val="00CA3F70"/>
    <w:rsid w:val="00CB1B0F"/>
    <w:rsid w:val="00CC08ED"/>
    <w:rsid w:val="00D520FF"/>
    <w:rsid w:val="00D579B0"/>
    <w:rsid w:val="00D850CB"/>
    <w:rsid w:val="00DD66F1"/>
    <w:rsid w:val="00E224DB"/>
    <w:rsid w:val="00E61A15"/>
    <w:rsid w:val="00EC3170"/>
    <w:rsid w:val="00ED5438"/>
    <w:rsid w:val="00F71270"/>
    <w:rsid w:val="00FA0F5D"/>
    <w:rsid w:val="00FD18D2"/>
    <w:rsid w:val="0A6F64B8"/>
    <w:rsid w:val="242A900D"/>
    <w:rsid w:val="3406A51A"/>
    <w:rsid w:val="35A19519"/>
    <w:rsid w:val="376B5324"/>
    <w:rsid w:val="3B577248"/>
    <w:rsid w:val="3C3A3E2C"/>
    <w:rsid w:val="3CBBCF28"/>
    <w:rsid w:val="4A2B4A3C"/>
    <w:rsid w:val="567DF8C4"/>
    <w:rsid w:val="7151F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7824"/>
  <w15:chartTrackingRefBased/>
  <w15:docId w15:val="{556AAE11-07EE-4329-BA2A-88A24FCA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0F55"/>
  </w:style>
  <w:style w:type="paragraph" w:styleId="Heading1">
    <w:name w:val="heading 1"/>
    <w:basedOn w:val="Normal"/>
    <w:next w:val="Normal"/>
    <w:link w:val="Heading1Char"/>
    <w:uiPriority w:val="9"/>
    <w:qFormat/>
    <w:rsid w:val="008F5E1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5E1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00F5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F5E1F"/>
    <w:pPr>
      <w:tabs>
        <w:tab w:val="center" w:pos="4680"/>
        <w:tab w:val="right" w:pos="9360"/>
      </w:tabs>
      <w:spacing w:after="0" w:line="240" w:lineRule="auto"/>
    </w:pPr>
  </w:style>
  <w:style w:type="character" w:styleId="HeaderChar" w:customStyle="1">
    <w:name w:val="Header Char"/>
    <w:basedOn w:val="DefaultParagraphFont"/>
    <w:link w:val="Header"/>
    <w:uiPriority w:val="99"/>
    <w:rsid w:val="008F5E1F"/>
  </w:style>
  <w:style w:type="paragraph" w:styleId="Footer">
    <w:name w:val="footer"/>
    <w:basedOn w:val="Normal"/>
    <w:link w:val="FooterChar"/>
    <w:uiPriority w:val="99"/>
    <w:unhideWhenUsed/>
    <w:rsid w:val="008F5E1F"/>
    <w:pPr>
      <w:tabs>
        <w:tab w:val="center" w:pos="4680"/>
        <w:tab w:val="right" w:pos="9360"/>
      </w:tabs>
      <w:spacing w:after="0" w:line="240" w:lineRule="auto"/>
    </w:pPr>
  </w:style>
  <w:style w:type="character" w:styleId="FooterChar" w:customStyle="1">
    <w:name w:val="Footer Char"/>
    <w:basedOn w:val="DefaultParagraphFont"/>
    <w:link w:val="Footer"/>
    <w:uiPriority w:val="99"/>
    <w:rsid w:val="008F5E1F"/>
  </w:style>
  <w:style w:type="character" w:styleId="Heading1Char" w:customStyle="1">
    <w:name w:val="Heading 1 Char"/>
    <w:basedOn w:val="DefaultParagraphFont"/>
    <w:link w:val="Heading1"/>
    <w:uiPriority w:val="9"/>
    <w:rsid w:val="008F5E1F"/>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8F5E1F"/>
    <w:rPr>
      <w:rFonts w:asciiTheme="majorHAnsi" w:hAnsiTheme="majorHAnsi" w:eastAsiaTheme="majorEastAsia" w:cstheme="majorBidi"/>
      <w:color w:val="2F5496" w:themeColor="accent1" w:themeShade="BF"/>
      <w:sz w:val="26"/>
      <w:szCs w:val="26"/>
    </w:rPr>
  </w:style>
  <w:style w:type="character" w:styleId="CommentReference">
    <w:name w:val="annotation reference"/>
    <w:basedOn w:val="DefaultParagraphFont"/>
    <w:uiPriority w:val="99"/>
    <w:semiHidden/>
    <w:unhideWhenUsed/>
    <w:rsid w:val="00691CB7"/>
    <w:rPr>
      <w:sz w:val="16"/>
      <w:szCs w:val="16"/>
    </w:rPr>
  </w:style>
  <w:style w:type="paragraph" w:styleId="CommentText">
    <w:name w:val="annotation text"/>
    <w:basedOn w:val="Normal"/>
    <w:link w:val="CommentTextChar"/>
    <w:uiPriority w:val="99"/>
    <w:unhideWhenUsed/>
    <w:rsid w:val="00691CB7"/>
    <w:pPr>
      <w:spacing w:line="240" w:lineRule="auto"/>
    </w:pPr>
    <w:rPr>
      <w:sz w:val="20"/>
      <w:szCs w:val="20"/>
    </w:rPr>
  </w:style>
  <w:style w:type="character" w:styleId="CommentTextChar" w:customStyle="1">
    <w:name w:val="Comment Text Char"/>
    <w:basedOn w:val="DefaultParagraphFont"/>
    <w:link w:val="CommentText"/>
    <w:uiPriority w:val="99"/>
    <w:rsid w:val="00691CB7"/>
    <w:rPr>
      <w:sz w:val="20"/>
      <w:szCs w:val="20"/>
    </w:rPr>
  </w:style>
  <w:style w:type="paragraph" w:styleId="CommentSubject">
    <w:name w:val="annotation subject"/>
    <w:basedOn w:val="CommentText"/>
    <w:next w:val="CommentText"/>
    <w:link w:val="CommentSubjectChar"/>
    <w:uiPriority w:val="99"/>
    <w:semiHidden/>
    <w:unhideWhenUsed/>
    <w:rsid w:val="00691CB7"/>
    <w:rPr>
      <w:b/>
      <w:bCs/>
    </w:rPr>
  </w:style>
  <w:style w:type="character" w:styleId="CommentSubjectChar" w:customStyle="1">
    <w:name w:val="Comment Subject Char"/>
    <w:basedOn w:val="CommentTextChar"/>
    <w:link w:val="CommentSubject"/>
    <w:uiPriority w:val="99"/>
    <w:semiHidden/>
    <w:rsid w:val="00691CB7"/>
    <w:rPr>
      <w:b/>
      <w:bCs/>
      <w:sz w:val="20"/>
      <w:szCs w:val="20"/>
    </w:rPr>
  </w:style>
  <w:style w:type="paragraph" w:styleId="BalloonText">
    <w:name w:val="Balloon Text"/>
    <w:basedOn w:val="Normal"/>
    <w:link w:val="BalloonTextChar"/>
    <w:uiPriority w:val="99"/>
    <w:semiHidden/>
    <w:unhideWhenUsed/>
    <w:rsid w:val="00691CB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91CB7"/>
    <w:rPr>
      <w:rFonts w:ascii="Segoe UI" w:hAnsi="Segoe UI" w:cs="Segoe UI"/>
      <w:sz w:val="18"/>
      <w:szCs w:val="18"/>
    </w:rPr>
  </w:style>
  <w:style w:type="character" w:styleId="Hyperlink">
    <w:name w:val="Hyperlink"/>
    <w:basedOn w:val="DefaultParagraphFont"/>
    <w:uiPriority w:val="99"/>
    <w:unhideWhenUsed/>
    <w:rsid w:val="002C63C5"/>
    <w:rPr>
      <w:color w:val="0563C1" w:themeColor="hyperlink"/>
      <w:u w:val="single"/>
    </w:rPr>
  </w:style>
  <w:style w:type="character" w:styleId="UnresolvedMention">
    <w:name w:val="Unresolved Mention"/>
    <w:basedOn w:val="DefaultParagraphFont"/>
    <w:uiPriority w:val="99"/>
    <w:semiHidden/>
    <w:unhideWhenUsed/>
    <w:rsid w:val="002C63C5"/>
    <w:rPr>
      <w:color w:val="605E5C"/>
      <w:shd w:val="clear" w:color="auto" w:fill="E1DFDD"/>
    </w:rPr>
  </w:style>
  <w:style w:type="paragraph" w:styleId="NormalWeb">
    <w:name w:val="Normal (Web)"/>
    <w:basedOn w:val="Normal"/>
    <w:uiPriority w:val="99"/>
    <w:unhideWhenUsed/>
    <w:rsid w:val="00A00737"/>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40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692FB-C964-4B2A-AD51-2DC1EDB69604}">
  <ds:schemaRefs>
    <ds:schemaRef ds:uri="http://schemas.microsoft.com/sharepoint/v3/contenttype/forms"/>
  </ds:schemaRefs>
</ds:datastoreItem>
</file>

<file path=customXml/itemProps2.xml><?xml version="1.0" encoding="utf-8"?>
<ds:datastoreItem xmlns:ds="http://schemas.openxmlformats.org/officeDocument/2006/customXml" ds:itemID="{A6094949-8BDE-4678-A395-51B51BC39A23}">
  <ds:schemaRefs>
    <ds:schemaRef ds:uri="http://schemas.microsoft.com/office/2006/metadata/properties"/>
    <ds:schemaRef ds:uri="http://schemas.microsoft.com/office/infopath/2007/PartnerControls"/>
    <ds:schemaRef ds:uri="537647ec-f617-4999-8032-1f453e4c2fb5"/>
    <ds:schemaRef ds:uri="04c69e7e-30dd-4fc4-b8bc-afeef48eb057"/>
  </ds:schemaRefs>
</ds:datastoreItem>
</file>

<file path=customXml/itemProps3.xml><?xml version="1.0" encoding="utf-8"?>
<ds:datastoreItem xmlns:ds="http://schemas.openxmlformats.org/officeDocument/2006/customXml" ds:itemID="{339CB325-CB65-4B9B-BB70-0BBA5AFF8E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Natalie Au</cp:lastModifiedBy>
  <cp:revision>7</cp:revision>
  <dcterms:created xsi:type="dcterms:W3CDTF">2023-09-07T21:20:00Z</dcterms:created>
  <dcterms:modified xsi:type="dcterms:W3CDTF">2024-10-31T15:45:12Z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y fmtid="{D5CDD505-2E9C-101B-9397-08002B2CF9AE}" pid="3" name="MediaServiceImageTags">
    <vt:lpwstr/>
  </property>
</Properties>
</file>