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8F5E1F" w:rsidR="008F5E1F" w:rsidP="00723C39" w:rsidRDefault="00F151DA" w14:paraId="4EF37726" w14:textId="2273EAF6">
      <w:pPr>
        <w:pStyle w:val="Heading1"/>
        <w:spacing w:before="0"/>
      </w:pPr>
      <w:r>
        <w:t>D</w:t>
      </w:r>
      <w:r w:rsidR="00494FAC">
        <w:t xml:space="preserve">ecreased </w:t>
      </w:r>
      <w:r>
        <w:t xml:space="preserve">prostate cancer </w:t>
      </w:r>
      <w:r w:rsidR="00494FAC">
        <w:t xml:space="preserve">screening </w:t>
      </w:r>
      <w:r>
        <w:t>following</w:t>
      </w:r>
      <w:r w:rsidRPr="0073436D">
        <w:t xml:space="preserve"> </w:t>
      </w:r>
      <w:r w:rsidRPr="0073436D" w:rsidR="008B558E">
        <w:t>the 2012 USPSTF Statement</w:t>
      </w:r>
      <w:r w:rsidR="00494FAC">
        <w:t xml:space="preserve"> </w:t>
      </w:r>
      <w:r>
        <w:t>resulted in a significant increase in metastatic cancer</w:t>
      </w:r>
      <w:r w:rsidR="00BB04FB">
        <w:t xml:space="preserve"> and informs effort</w:t>
      </w:r>
      <w:r w:rsidR="00CB3A94">
        <w:t>s</w:t>
      </w:r>
      <w:r w:rsidR="00BB04FB">
        <w:t xml:space="preserve"> for risk-stratified screening</w:t>
      </w:r>
      <w:r>
        <w:t>.</w:t>
      </w:r>
    </w:p>
    <w:p w:rsidRPr="008B558E" w:rsidR="008B558E" w:rsidP="00723C39" w:rsidRDefault="008B558E" w14:paraId="752E81CB" w14:textId="77777777">
      <w:pPr>
        <w:spacing w:after="0"/>
      </w:pPr>
      <w:r w:rsidRPr="008B558E">
        <w:t>Joseph Presti Jr, Stacey Alexeeff, Brandon Horton, Stephanie Prausnitz, Andrew L Avins</w:t>
      </w:r>
    </w:p>
    <w:tbl>
      <w:tblPr>
        <w:tblStyle w:val="TableGrid"/>
        <w:tblpPr w:leftFromText="187" w:rightFromText="187" w:vertAnchor="text" w:tblpY="1"/>
        <w:tblOverlap w:val="never"/>
        <w:tblW w:w="9470" w:type="dxa"/>
        <w:tblLook w:val="04A0" w:firstRow="1" w:lastRow="0" w:firstColumn="1" w:lastColumn="0" w:noHBand="0" w:noVBand="1"/>
      </w:tblPr>
      <w:tblGrid>
        <w:gridCol w:w="1851"/>
        <w:gridCol w:w="8391"/>
      </w:tblGrid>
      <w:tr w:rsidRPr="008A7C90" w:rsidR="00C00F55" w:rsidTr="74B52981" w14:paraId="114D48B4" w14:textId="77777777">
        <w:trPr>
          <w:trHeight w:val="816"/>
        </w:trPr>
        <w:tc>
          <w:tcPr>
            <w:tcW w:w="2638" w:type="dxa"/>
            <w:tcMar/>
          </w:tcPr>
          <w:p w:rsidRPr="008A7C90" w:rsidR="00C00F55" w:rsidP="00723C39" w:rsidRDefault="00C00F55" w14:paraId="0C8E8FE0" w14:textId="77777777">
            <w:pPr>
              <w:spacing w:line="259" w:lineRule="auto"/>
            </w:pPr>
            <w:bookmarkStart w:name="_Hlk54105970" w:id="0"/>
            <w:r w:rsidRPr="008A7C90">
              <w:t>Challenge</w:t>
            </w:r>
          </w:p>
        </w:tc>
        <w:tc>
          <w:tcPr>
            <w:tcW w:w="6832" w:type="dxa"/>
            <w:tcMar/>
          </w:tcPr>
          <w:p w:rsidRPr="00426C21" w:rsidR="00C00F55" w:rsidP="00DA51C3" w:rsidRDefault="008B558E" w14:paraId="27AC1FD0" w14:textId="15BBB6CE">
            <w:r w:rsidRPr="00FF0CC5">
              <w:t xml:space="preserve">In 2012, the US Preventive Services Task Force (USPSTF) recommended against PSA-based screening for prostate cancer </w:t>
            </w:r>
            <w:r>
              <w:t>for all</w:t>
            </w:r>
            <w:r w:rsidRPr="00FF0CC5">
              <w:t xml:space="preserve"> men</w:t>
            </w:r>
            <w:r w:rsidR="00CB3A94">
              <w:t xml:space="preserve">.  </w:t>
            </w:r>
            <w:r w:rsidRPr="00734AAE">
              <w:rPr>
                <w:b/>
                <w:bCs/>
              </w:rPr>
              <w:t xml:space="preserve">The impact </w:t>
            </w:r>
            <w:r w:rsidR="00562662">
              <w:rPr>
                <w:b/>
                <w:bCs/>
              </w:rPr>
              <w:t xml:space="preserve">of </w:t>
            </w:r>
            <w:r w:rsidR="00110547">
              <w:rPr>
                <w:b/>
                <w:bCs/>
              </w:rPr>
              <w:t xml:space="preserve">the resulting </w:t>
            </w:r>
            <w:r w:rsidR="00CB3A94">
              <w:rPr>
                <w:b/>
                <w:bCs/>
              </w:rPr>
              <w:t xml:space="preserve">marked </w:t>
            </w:r>
            <w:r w:rsidR="00562662">
              <w:rPr>
                <w:b/>
                <w:bCs/>
              </w:rPr>
              <w:t>decrease</w:t>
            </w:r>
            <w:r w:rsidR="00CB3A94">
              <w:rPr>
                <w:b/>
                <w:bCs/>
              </w:rPr>
              <w:t xml:space="preserve"> in</w:t>
            </w:r>
            <w:r w:rsidR="00562662">
              <w:rPr>
                <w:b/>
                <w:bCs/>
              </w:rPr>
              <w:t xml:space="preserve"> </w:t>
            </w:r>
            <w:r w:rsidR="00110547">
              <w:rPr>
                <w:b/>
                <w:bCs/>
              </w:rPr>
              <w:t xml:space="preserve">screening </w:t>
            </w:r>
            <w:r w:rsidR="00562662">
              <w:rPr>
                <w:b/>
                <w:bCs/>
              </w:rPr>
              <w:t xml:space="preserve">on </w:t>
            </w:r>
            <w:r w:rsidRPr="00734AAE">
              <w:rPr>
                <w:b/>
                <w:bCs/>
              </w:rPr>
              <w:t xml:space="preserve">clinical </w:t>
            </w:r>
            <w:r w:rsidR="00562662">
              <w:rPr>
                <w:b/>
                <w:bCs/>
              </w:rPr>
              <w:t xml:space="preserve">outcomes </w:t>
            </w:r>
            <w:r>
              <w:rPr>
                <w:b/>
                <w:bCs/>
              </w:rPr>
              <w:t>(including metastatic disease)</w:t>
            </w:r>
            <w:r w:rsidRPr="00734AA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are</w:t>
            </w:r>
            <w:r w:rsidRPr="00734AAE">
              <w:rPr>
                <w:b/>
                <w:bCs/>
              </w:rPr>
              <w:t xml:space="preserve"> </w:t>
            </w:r>
            <w:r w:rsidR="00187571">
              <w:rPr>
                <w:b/>
                <w:bCs/>
              </w:rPr>
              <w:t>unknown</w:t>
            </w:r>
            <w:r>
              <w:rPr>
                <w:b/>
                <w:bCs/>
              </w:rPr>
              <w:t xml:space="preserve"> and would inform </w:t>
            </w:r>
            <w:r w:rsidR="00A574D9">
              <w:rPr>
                <w:b/>
                <w:bCs/>
              </w:rPr>
              <w:t>whether</w:t>
            </w:r>
            <w:r w:rsidR="00187571">
              <w:rPr>
                <w:b/>
                <w:bCs/>
              </w:rPr>
              <w:t xml:space="preserve"> m</w:t>
            </w:r>
            <w:r>
              <w:rPr>
                <w:b/>
                <w:bCs/>
              </w:rPr>
              <w:t>ore targeted screening may be advisable, such as for higher-risk groups (e.g. African-Americans)</w:t>
            </w:r>
            <w:r w:rsidRPr="00734AAE">
              <w:rPr>
                <w:b/>
                <w:bCs/>
              </w:rPr>
              <w:t>.</w:t>
            </w:r>
          </w:p>
        </w:tc>
      </w:tr>
      <w:tr w:rsidRPr="008A7C90" w:rsidR="00C00F55" w:rsidTr="74B52981" w14:paraId="1B565E6D" w14:textId="77777777">
        <w:trPr>
          <w:trHeight w:val="1091"/>
        </w:trPr>
        <w:tc>
          <w:tcPr>
            <w:tcW w:w="2638" w:type="dxa"/>
            <w:tcMar/>
          </w:tcPr>
          <w:p w:rsidRPr="008A7C90" w:rsidR="00C00F55" w:rsidP="00723C39" w:rsidRDefault="00C00F55" w14:paraId="5CEAE892" w14:textId="77777777">
            <w:pPr>
              <w:spacing w:line="259" w:lineRule="auto"/>
            </w:pPr>
            <w:r w:rsidRPr="008A7C90">
              <w:t>Existing Evidence</w:t>
            </w:r>
          </w:p>
        </w:tc>
        <w:tc>
          <w:tcPr>
            <w:tcW w:w="6832" w:type="dxa"/>
            <w:tcMar/>
          </w:tcPr>
          <w:p w:rsidRPr="008A7C90" w:rsidR="00C00F55" w:rsidP="00DA51C3" w:rsidRDefault="008B558E" w14:paraId="3AE9184F" w14:textId="7D70B884">
            <w:r>
              <w:t xml:space="preserve">PSA-based prostate cancer screening was suggested to be minimally effective for prostate cancer decreasing mortality in randomized trials.  Thus, the USPSTF’s downgrading of PSA-based screening to “recommended against”, theoretically, </w:t>
            </w:r>
            <w:r w:rsidR="00FB55CF">
              <w:t xml:space="preserve">this </w:t>
            </w:r>
            <w:r>
              <w:t xml:space="preserve">should have little impact on morbidity and deaths from prostate cancer, but little community-based data exist.  </w:t>
            </w:r>
          </w:p>
        </w:tc>
      </w:tr>
      <w:tr w:rsidRPr="008A7C90" w:rsidR="00C00F55" w:rsidTr="74B52981" w14:paraId="4508CAEC" w14:textId="77777777">
        <w:trPr>
          <w:trHeight w:val="262"/>
        </w:trPr>
        <w:tc>
          <w:tcPr>
            <w:tcW w:w="2638" w:type="dxa"/>
            <w:tcMar/>
          </w:tcPr>
          <w:p w:rsidRPr="008A7C90" w:rsidR="00C00F55" w:rsidP="00723C39" w:rsidRDefault="00C00F55" w14:paraId="5B713943" w14:textId="77777777">
            <w:pPr>
              <w:spacing w:line="259" w:lineRule="auto"/>
            </w:pPr>
            <w:r w:rsidRPr="008A7C90">
              <w:t>Target Population</w:t>
            </w:r>
          </w:p>
        </w:tc>
        <w:tc>
          <w:tcPr>
            <w:tcW w:w="6832" w:type="dxa"/>
            <w:tcMar/>
          </w:tcPr>
          <w:p w:rsidR="008B558E" w:rsidP="00723C39" w:rsidRDefault="008B558E" w14:paraId="7857C26C" w14:textId="4331284A">
            <w:r>
              <w:t xml:space="preserve">Screen eligible men without </w:t>
            </w:r>
            <w:r w:rsidR="00F151DA">
              <w:t xml:space="preserve">a </w:t>
            </w:r>
            <w:r>
              <w:t xml:space="preserve">history of prostate cancer. </w:t>
            </w:r>
          </w:p>
          <w:p w:rsidRPr="008A7C90" w:rsidR="00C00F55" w:rsidP="00723C39" w:rsidRDefault="00C00F55" w14:paraId="21AEABFD" w14:textId="6B906DAB"/>
        </w:tc>
      </w:tr>
      <w:tr w:rsidRPr="008A7C90" w:rsidR="00C00F55" w:rsidTr="74B52981" w14:paraId="6BF408F1" w14:textId="77777777">
        <w:trPr>
          <w:trHeight w:val="276"/>
        </w:trPr>
        <w:tc>
          <w:tcPr>
            <w:tcW w:w="2638" w:type="dxa"/>
            <w:tcMar/>
          </w:tcPr>
          <w:p w:rsidRPr="008A7C90" w:rsidR="00C00F55" w:rsidP="00723C39" w:rsidRDefault="00C00F55" w14:paraId="7D5D9A8B" w14:textId="77777777">
            <w:pPr>
              <w:spacing w:line="259" w:lineRule="auto"/>
            </w:pPr>
            <w:r w:rsidRPr="008A7C90">
              <w:t>Intervention or Exposure</w:t>
            </w:r>
          </w:p>
        </w:tc>
        <w:tc>
          <w:tcPr>
            <w:tcW w:w="6832" w:type="dxa"/>
            <w:tcMar/>
          </w:tcPr>
          <w:p w:rsidR="008B558E" w:rsidP="00723C39" w:rsidRDefault="00F151DA" w14:paraId="008DD91B" w14:textId="2AFB918E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</w:rPr>
              <w:t>”</w:t>
            </w:r>
            <w:r>
              <w:rPr>
                <w:rFonts w:cstheme="minorHAnsi"/>
                <w:color w:val="212121"/>
                <w:shd w:val="clear" w:color="auto" w:fill="FFFFFF"/>
              </w:rPr>
              <w:t>2012 USPSTF Statement stating “Do not screen anyone for prostate cancer”</w:t>
            </w:r>
          </w:p>
          <w:p w:rsidRPr="008A7C90" w:rsidR="00C00F55" w:rsidP="00723C39" w:rsidRDefault="00C00F55" w14:paraId="0AFECC66" w14:textId="27C67893"/>
        </w:tc>
      </w:tr>
      <w:tr w:rsidRPr="008A7C90" w:rsidR="00C00F55" w:rsidTr="74B52981" w14:paraId="0F388BD3" w14:textId="77777777">
        <w:trPr>
          <w:trHeight w:val="1355"/>
        </w:trPr>
        <w:tc>
          <w:tcPr>
            <w:tcW w:w="2638" w:type="dxa"/>
            <w:tcMar/>
          </w:tcPr>
          <w:p w:rsidRPr="008A7C90" w:rsidR="00C00F55" w:rsidP="00723C39" w:rsidRDefault="00C00F55" w14:paraId="0C0805FB" w14:textId="77777777">
            <w:pPr>
              <w:spacing w:line="259" w:lineRule="auto"/>
            </w:pPr>
            <w:r w:rsidRPr="008A7C90">
              <w:t>Outcomes/Key Findings</w:t>
            </w:r>
          </w:p>
        </w:tc>
        <w:tc>
          <w:tcPr>
            <w:tcW w:w="6832" w:type="dxa"/>
            <w:tcMar/>
          </w:tcPr>
          <w:p w:rsidRPr="008A7C90" w:rsidR="00C00F55" w:rsidP="00723C39" w:rsidRDefault="005A004B" w14:paraId="2ADA2E8C" w14:textId="2BC946E7">
            <w:r w:rsidRPr="0007140F">
              <w:rPr>
                <w:b/>
                <w:bCs/>
              </w:rPr>
              <w:t>After the USPSTF recommended against routine prostate cancer screening, s</w:t>
            </w:r>
            <w:r w:rsidRPr="0007140F" w:rsidR="008B558E">
              <w:rPr>
                <w:b/>
                <w:bCs/>
              </w:rPr>
              <w:t>creening rates declined 23.4% (95% CI 23.0-23.8%)</w:t>
            </w:r>
            <w:r w:rsidR="00601755">
              <w:rPr>
                <w:b/>
                <w:bCs/>
              </w:rPr>
              <w:t xml:space="preserve"> and</w:t>
            </w:r>
            <w:r w:rsidRPr="0007140F" w:rsidR="008B558E">
              <w:rPr>
                <w:b/>
                <w:bCs/>
              </w:rPr>
              <w:t xml:space="preserve"> biopsy rates declined 64.3% (95% CI 62.9-65.6%)</w:t>
            </w:r>
            <w:r w:rsidR="00601755">
              <w:rPr>
                <w:b/>
                <w:bCs/>
              </w:rPr>
              <w:t xml:space="preserve">.  </w:t>
            </w:r>
            <w:r w:rsidR="002D6657">
              <w:rPr>
                <w:b/>
                <w:bCs/>
              </w:rPr>
              <w:t>Subsequently</w:t>
            </w:r>
            <w:r w:rsidR="00601755">
              <w:rPr>
                <w:b/>
                <w:bCs/>
              </w:rPr>
              <w:t>, i</w:t>
            </w:r>
            <w:r w:rsidRPr="0007140F" w:rsidR="008B558E">
              <w:rPr>
                <w:b/>
                <w:bCs/>
              </w:rPr>
              <w:t xml:space="preserve">ncident prostate cancer </w:t>
            </w:r>
            <w:r w:rsidR="00A24CD5">
              <w:rPr>
                <w:b/>
                <w:bCs/>
              </w:rPr>
              <w:t>diagnoses</w:t>
            </w:r>
            <w:r w:rsidRPr="0007140F" w:rsidR="008B558E">
              <w:rPr>
                <w:b/>
                <w:bCs/>
              </w:rPr>
              <w:t xml:space="preserve"> declined 53.5% (95% CI 50.1-56.7%)</w:t>
            </w:r>
            <w:r w:rsidR="00601755">
              <w:rPr>
                <w:b/>
                <w:bCs/>
              </w:rPr>
              <w:t>, resulting in</w:t>
            </w:r>
            <w:r w:rsidRPr="0007140F" w:rsidR="008B558E">
              <w:rPr>
                <w:b/>
                <w:bCs/>
              </w:rPr>
              <w:t xml:space="preserve"> 1871 fewer incident cancers detected</w:t>
            </w:r>
            <w:r w:rsidRPr="0007140F" w:rsidR="00602C69">
              <w:rPr>
                <w:b/>
                <w:bCs/>
              </w:rPr>
              <w:t xml:space="preserve">, but </w:t>
            </w:r>
            <w:r w:rsidRPr="0007140F" w:rsidR="008B558E">
              <w:rPr>
                <w:b/>
                <w:bCs/>
              </w:rPr>
              <w:t>metastatic cancer rates increased 36.9% (95% CI 9.5-71.0%) resulting in 75 more stage IV cancers detected.</w:t>
            </w:r>
            <w:r w:rsidR="00AF3222">
              <w:rPr>
                <w:b/>
                <w:bCs/>
              </w:rPr>
              <w:t xml:space="preserve"> </w:t>
            </w:r>
          </w:p>
        </w:tc>
      </w:tr>
      <w:tr w:rsidRPr="008A7C90" w:rsidR="00C00F55" w:rsidTr="74B52981" w14:paraId="28982E72" w14:textId="77777777">
        <w:trPr>
          <w:trHeight w:val="1337"/>
        </w:trPr>
        <w:tc>
          <w:tcPr>
            <w:tcW w:w="2638" w:type="dxa"/>
            <w:tcMar/>
          </w:tcPr>
          <w:p w:rsidRPr="008A7C90" w:rsidR="00C00F55" w:rsidP="00723C39" w:rsidRDefault="00C00F55" w14:paraId="0758E4C3" w14:textId="77777777">
            <w:pPr>
              <w:spacing w:line="259" w:lineRule="auto"/>
            </w:pPr>
            <w:r w:rsidRPr="008A7C90">
              <w:t>Resulting Action/Change</w:t>
            </w:r>
          </w:p>
        </w:tc>
        <w:tc>
          <w:tcPr>
            <w:tcW w:w="6832" w:type="dxa"/>
            <w:tcMar/>
          </w:tcPr>
          <w:p w:rsidRPr="008A7C90" w:rsidR="00C00F55" w:rsidP="00B26C87" w:rsidRDefault="008B558E" w14:paraId="35A57C24" w14:textId="516AF851">
            <w:r w:rsidRPr="00F82AB0">
              <w:rPr>
                <w:b/>
                <w:bCs/>
              </w:rPr>
              <w:t xml:space="preserve">The finding of more advanced cancers informs next-step already-started analyses for identifying </w:t>
            </w:r>
            <w:r w:rsidR="00F151DA">
              <w:rPr>
                <w:b/>
                <w:bCs/>
              </w:rPr>
              <w:t xml:space="preserve">the impact on </w:t>
            </w:r>
            <w:r w:rsidRPr="00F82AB0">
              <w:rPr>
                <w:b/>
                <w:bCs/>
              </w:rPr>
              <w:t>high-risk populations (e.g. African Americans) who may benefit from more targeted</w:t>
            </w:r>
            <w:r w:rsidRPr="00F82AB0" w:rsidR="0007140F">
              <w:rPr>
                <w:b/>
                <w:bCs/>
              </w:rPr>
              <w:t xml:space="preserve"> prostate cancer</w:t>
            </w:r>
            <w:r w:rsidRPr="00F82AB0">
              <w:rPr>
                <w:b/>
                <w:bCs/>
              </w:rPr>
              <w:t xml:space="preserve"> screening, to lower the rate of metastatic cancer while minimizing over-screening of populations not likely to benefit (or to have harm).</w:t>
            </w:r>
          </w:p>
        </w:tc>
      </w:tr>
      <w:tr w:rsidRPr="008A7C90" w:rsidR="00FD723E" w:rsidTr="74B52981" w14:paraId="534934DC" w14:textId="77777777">
        <w:trPr>
          <w:trHeight w:val="552"/>
        </w:trPr>
        <w:tc>
          <w:tcPr>
            <w:tcW w:w="2638" w:type="dxa"/>
            <w:tcMar/>
          </w:tcPr>
          <w:p w:rsidRPr="008A7C90" w:rsidR="00FD723E" w:rsidP="00723C39" w:rsidRDefault="00FD723E" w14:paraId="5424A37B" w14:textId="5FABE449">
            <w:r>
              <w:t>Additional recommendations</w:t>
            </w:r>
          </w:p>
        </w:tc>
        <w:tc>
          <w:tcPr>
            <w:tcW w:w="6832" w:type="dxa"/>
            <w:tcMar/>
          </w:tcPr>
          <w:p w:rsidRPr="008A7C90" w:rsidR="00FD723E" w:rsidP="00723C39" w:rsidRDefault="00FD723E" w14:paraId="1CA078DB" w14:textId="04FC6C54">
            <w:r>
              <w:t>These findings inform potential next steps</w:t>
            </w:r>
            <w:r w:rsidR="00BB0968">
              <w:t xml:space="preserve"> such as outreach to higher risk groups for informed decision-making regarding screening</w:t>
            </w:r>
            <w:r w:rsidR="00F151DA">
              <w:t xml:space="preserve"> and informing primary care about the consequences of not screening</w:t>
            </w:r>
          </w:p>
        </w:tc>
      </w:tr>
      <w:tr w:rsidRPr="008A7C90" w:rsidR="00C00F55" w:rsidTr="74B52981" w14:paraId="7A183D36" w14:textId="77777777">
        <w:trPr>
          <w:trHeight w:val="552"/>
        </w:trPr>
        <w:tc>
          <w:tcPr>
            <w:tcW w:w="2638" w:type="dxa"/>
            <w:tcMar/>
          </w:tcPr>
          <w:p w:rsidRPr="008A7C90" w:rsidR="00C00F55" w:rsidP="00723C39" w:rsidRDefault="00C00F55" w14:paraId="713A9C2F" w14:textId="77777777">
            <w:pPr>
              <w:spacing w:line="259" w:lineRule="auto"/>
            </w:pPr>
            <w:r w:rsidRPr="008A7C90">
              <w:t>Implementation Tools</w:t>
            </w:r>
            <w:r w:rsidRPr="008A7C90">
              <w:tab/>
            </w:r>
          </w:p>
        </w:tc>
        <w:tc>
          <w:tcPr>
            <w:tcW w:w="6832" w:type="dxa"/>
            <w:tcMar/>
          </w:tcPr>
          <w:p w:rsidRPr="008A7C90" w:rsidR="00C00F55" w:rsidP="00723C39" w:rsidRDefault="00BB0968" w14:paraId="7086AFEE" w14:textId="6B29A6C4">
            <w:r>
              <w:t>Not applicable</w:t>
            </w:r>
          </w:p>
        </w:tc>
      </w:tr>
      <w:tr w:rsidRPr="008A7C90" w:rsidR="00C00F55" w:rsidTr="74B52981" w14:paraId="4E70A877" w14:textId="77777777">
        <w:trPr>
          <w:trHeight w:val="552"/>
        </w:trPr>
        <w:tc>
          <w:tcPr>
            <w:tcW w:w="2638" w:type="dxa"/>
            <w:tcMar/>
          </w:tcPr>
          <w:p w:rsidRPr="00E23351" w:rsidR="00C00F55" w:rsidP="00723C39" w:rsidRDefault="00E23351" w14:paraId="0EF13549" w14:textId="0FC50C5A">
            <w:pPr>
              <w:spacing w:line="259" w:lineRule="auto"/>
            </w:pPr>
            <w:r w:rsidRPr="00B26C87">
              <w:t>Implementation and Follow-up Measures</w:t>
            </w:r>
          </w:p>
        </w:tc>
        <w:tc>
          <w:tcPr>
            <w:tcW w:w="6832" w:type="dxa"/>
            <w:tcMar/>
          </w:tcPr>
          <w:p w:rsidR="008B558E" w:rsidP="00723C39" w:rsidRDefault="00B7541D" w14:paraId="689E18C8" w14:textId="5D080981">
            <w:r>
              <w:t xml:space="preserve">Development of risk-stratified screening tools (implementation); </w:t>
            </w:r>
            <w:r w:rsidR="00C2677C">
              <w:t xml:space="preserve">changes in </w:t>
            </w:r>
            <w:r w:rsidRPr="005565E1" w:rsidR="008B558E">
              <w:t xml:space="preserve">stage IV cancer </w:t>
            </w:r>
            <w:r w:rsidR="00AE0E96">
              <w:t>(effectiveness); PSA testing, surgery, chemotherapy (utilization)</w:t>
            </w:r>
          </w:p>
          <w:p w:rsidRPr="008A7C90" w:rsidR="00C00F55" w:rsidP="00723C39" w:rsidRDefault="00C00F55" w14:paraId="5695DDF3" w14:textId="257713B2"/>
        </w:tc>
      </w:tr>
      <w:tr w:rsidRPr="008A7C90" w:rsidR="00C00F55" w:rsidTr="74B52981" w14:paraId="6911A7DF" w14:textId="77777777">
        <w:trPr>
          <w:trHeight w:val="538"/>
        </w:trPr>
        <w:tc>
          <w:tcPr>
            <w:tcW w:w="2638" w:type="dxa"/>
            <w:tcMar/>
          </w:tcPr>
          <w:p w:rsidRPr="008A7C90" w:rsidR="008F5E1F" w:rsidP="00723C39" w:rsidRDefault="00C00F55" w14:paraId="1E297986" w14:textId="0E22F10B">
            <w:r>
              <w:t>Reference(s) [Key Figure if applicable]</w:t>
            </w:r>
          </w:p>
        </w:tc>
        <w:tc>
          <w:tcPr>
            <w:tcW w:w="6832" w:type="dxa"/>
            <w:tcMar/>
          </w:tcPr>
          <w:p w:rsidR="00365445" w:rsidP="00723C39" w:rsidRDefault="00365445" w14:paraId="3F26AC50" w14:textId="60931AA6">
            <w:r w:rsidR="00365445">
              <w:drawing>
                <wp:inline wp14:editId="74B52981" wp14:anchorId="06723464">
                  <wp:extent cx="5191126" cy="2006906"/>
                  <wp:effectExtent l="0" t="0" r="0" b="0"/>
                  <wp:docPr id="1" name="Pictur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2482b89c978f4f2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191126" cy="2006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5445" w:rsidP="00723C39" w:rsidRDefault="00365445" w14:paraId="1A1B708A" w14:textId="77777777"/>
          <w:p w:rsidR="008B558E" w:rsidP="00723C39" w:rsidRDefault="008B558E" w14:paraId="2D86B5A5" w14:textId="42593F9F">
            <w:r w:rsidRPr="00C31444">
              <w:t>DOI: 10.1007/s11606-019-05561-y</w:t>
            </w:r>
          </w:p>
          <w:p w:rsidR="0057199B" w:rsidP="00723C39" w:rsidRDefault="0057199B" w14:paraId="74EA90E6" w14:textId="2C0F73A7">
            <w:hyperlink w:history="1" r:id="rId10">
              <w:r w:rsidRPr="00712FFA">
                <w:rPr>
                  <w:rStyle w:val="Hyperlink"/>
                </w:rPr>
                <w:t>https://link.springer.com/article/10.1007/s11606-019-05561-y</w:t>
              </w:r>
            </w:hyperlink>
          </w:p>
          <w:p w:rsidR="0057199B" w:rsidP="00723C39" w:rsidRDefault="0057199B" w14:paraId="5A5BCA6C" w14:textId="77777777">
            <w:bookmarkStart w:name="_GoBack" w:id="1"/>
            <w:bookmarkEnd w:id="1"/>
          </w:p>
          <w:p w:rsidRPr="008A7C90" w:rsidR="00C00F55" w:rsidP="00723C39" w:rsidRDefault="00C00F55" w14:paraId="3827C732" w14:textId="643B506E"/>
        </w:tc>
      </w:tr>
      <w:bookmarkEnd w:id="0"/>
    </w:tbl>
    <w:p w:rsidR="009445BE" w:rsidP="00723C39" w:rsidRDefault="009445BE" w14:paraId="51C58CFA" w14:textId="2DAB70DB">
      <w:pPr>
        <w:spacing w:after="0"/>
      </w:pPr>
    </w:p>
    <w:p w:rsidR="008F5E1F" w:rsidP="00723C39" w:rsidRDefault="008F5E1F" w14:paraId="3029BC31" w14:textId="7704DC94">
      <w:pPr>
        <w:spacing w:after="0"/>
      </w:pPr>
    </w:p>
    <w:sectPr w:rsidR="008F5E1F" w:rsidSect="00F82AB0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003" w:rsidP="008F5E1F" w:rsidRDefault="00E06003" w14:paraId="3FCDF220" w14:textId="77777777">
      <w:pPr>
        <w:spacing w:after="0" w:line="240" w:lineRule="auto"/>
      </w:pPr>
      <w:r>
        <w:separator/>
      </w:r>
    </w:p>
  </w:endnote>
  <w:endnote w:type="continuationSeparator" w:id="0">
    <w:p w:rsidR="00E06003" w:rsidP="008F5E1F" w:rsidRDefault="00E06003" w14:paraId="40F55ED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003" w:rsidP="008F5E1F" w:rsidRDefault="00E06003" w14:paraId="280F38AD" w14:textId="77777777">
      <w:pPr>
        <w:spacing w:after="0" w:line="240" w:lineRule="auto"/>
      </w:pPr>
      <w:r>
        <w:separator/>
      </w:r>
    </w:p>
  </w:footnote>
  <w:footnote w:type="continuationSeparator" w:id="0">
    <w:p w:rsidR="00E06003" w:rsidP="008F5E1F" w:rsidRDefault="00E06003" w14:paraId="2E37824A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dirty"/>
  <w:trackRevisions w:val="tru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F55"/>
    <w:rsid w:val="00017013"/>
    <w:rsid w:val="00065D07"/>
    <w:rsid w:val="0007140F"/>
    <w:rsid w:val="00110547"/>
    <w:rsid w:val="00187571"/>
    <w:rsid w:val="002D6657"/>
    <w:rsid w:val="00313A23"/>
    <w:rsid w:val="00365445"/>
    <w:rsid w:val="00367488"/>
    <w:rsid w:val="003B7573"/>
    <w:rsid w:val="00494FAC"/>
    <w:rsid w:val="004C333B"/>
    <w:rsid w:val="005464AB"/>
    <w:rsid w:val="00562662"/>
    <w:rsid w:val="0057199B"/>
    <w:rsid w:val="005A004B"/>
    <w:rsid w:val="00601755"/>
    <w:rsid w:val="00602C69"/>
    <w:rsid w:val="00623F95"/>
    <w:rsid w:val="006B2A9F"/>
    <w:rsid w:val="007078C1"/>
    <w:rsid w:val="00723C39"/>
    <w:rsid w:val="008B558E"/>
    <w:rsid w:val="008F5E1F"/>
    <w:rsid w:val="009445BE"/>
    <w:rsid w:val="00A24CD5"/>
    <w:rsid w:val="00A574D9"/>
    <w:rsid w:val="00AE0E96"/>
    <w:rsid w:val="00AF3222"/>
    <w:rsid w:val="00B26C87"/>
    <w:rsid w:val="00B7541D"/>
    <w:rsid w:val="00BB04FB"/>
    <w:rsid w:val="00BB0968"/>
    <w:rsid w:val="00BE57C9"/>
    <w:rsid w:val="00C00F55"/>
    <w:rsid w:val="00C2677C"/>
    <w:rsid w:val="00CB3A94"/>
    <w:rsid w:val="00DA51C3"/>
    <w:rsid w:val="00E06003"/>
    <w:rsid w:val="00E23351"/>
    <w:rsid w:val="00EA5F7E"/>
    <w:rsid w:val="00F151DA"/>
    <w:rsid w:val="00F82AB0"/>
    <w:rsid w:val="00FB55CF"/>
    <w:rsid w:val="00FD723E"/>
    <w:rsid w:val="74B5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7824"/>
  <w15:chartTrackingRefBased/>
  <w15:docId w15:val="{556AAE11-07EE-4329-BA2A-88A24FCA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0F55"/>
  </w:style>
  <w:style w:type="paragraph" w:styleId="Heading1">
    <w:name w:val="heading 1"/>
    <w:basedOn w:val="Normal"/>
    <w:next w:val="Normal"/>
    <w:link w:val="Heading1Char"/>
    <w:uiPriority w:val="9"/>
    <w:qFormat/>
    <w:rsid w:val="008F5E1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5E1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F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F5E1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5E1F"/>
  </w:style>
  <w:style w:type="paragraph" w:styleId="Footer">
    <w:name w:val="footer"/>
    <w:basedOn w:val="Normal"/>
    <w:link w:val="FooterChar"/>
    <w:uiPriority w:val="99"/>
    <w:unhideWhenUsed/>
    <w:rsid w:val="008F5E1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5E1F"/>
  </w:style>
  <w:style w:type="character" w:styleId="Heading1Char" w:customStyle="1">
    <w:name w:val="Heading 1 Char"/>
    <w:basedOn w:val="DefaultParagraphFont"/>
    <w:link w:val="Heading1"/>
    <w:uiPriority w:val="9"/>
    <w:rsid w:val="008F5E1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F5E1F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26C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19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yperlink" Target="https://link.springer.com/article/10.1007/s11606-019-05561-y" TargetMode="External" Id="rId10" /><Relationship Type="http://schemas.openxmlformats.org/officeDocument/2006/relationships/styles" Target="styles.xml" Id="rId4" /><Relationship Type="http://schemas.openxmlformats.org/officeDocument/2006/relationships/image" Target="/media/image2.png" Id="R2482b89c978f4f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C78322-1095-43A3-A7B8-A6CA79EAFD41}"/>
</file>

<file path=customXml/itemProps2.xml><?xml version="1.0" encoding="utf-8"?>
<ds:datastoreItem xmlns:ds="http://schemas.openxmlformats.org/officeDocument/2006/customXml" ds:itemID="{25B4C0F7-6717-482A-A1AB-E43E41EF23CD}"/>
</file>

<file path=customXml/itemProps3.xml><?xml version="1.0" encoding="utf-8"?>
<ds:datastoreItem xmlns:ds="http://schemas.openxmlformats.org/officeDocument/2006/customXml" ds:itemID="{125167AC-EA5E-4F3B-98E7-047D9C6835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Jennifer Schneider</cp:lastModifiedBy>
  <cp:revision>5</cp:revision>
  <dcterms:created xsi:type="dcterms:W3CDTF">2021-01-13T00:13:00Z</dcterms:created>
  <dcterms:modified xsi:type="dcterms:W3CDTF">2021-01-22T00:50:40Z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</Properties>
</file>