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37726" w14:textId="5B2B7D66" w:rsidR="008F5E1F" w:rsidRPr="008F5E1F" w:rsidRDefault="110BEDC7" w:rsidP="00D250D3">
      <w:pPr>
        <w:pStyle w:val="Heading1"/>
        <w:spacing w:before="0"/>
      </w:pPr>
      <w:r>
        <w:t xml:space="preserve">Implementation of </w:t>
      </w:r>
      <w:r w:rsidR="00683595">
        <w:t>novel s</w:t>
      </w:r>
      <w:r w:rsidR="008F5E1F">
        <w:t xml:space="preserve">tandardized </w:t>
      </w:r>
      <w:r w:rsidR="00683595">
        <w:t>o</w:t>
      </w:r>
      <w:r w:rsidR="008F5E1F">
        <w:t xml:space="preserve">varian </w:t>
      </w:r>
      <w:r w:rsidR="00683595">
        <w:t>cyst</w:t>
      </w:r>
      <w:r w:rsidR="00902B72">
        <w:t>/c</w:t>
      </w:r>
      <w:r w:rsidR="008F5E1F">
        <w:t xml:space="preserve">ancer </w:t>
      </w:r>
      <w:r w:rsidR="002B678A">
        <w:t xml:space="preserve">system </w:t>
      </w:r>
      <w:r w:rsidR="00D41625">
        <w:t xml:space="preserve">into ultrasound reports </w:t>
      </w:r>
      <w:r w:rsidR="002B678A">
        <w:t xml:space="preserve">accurately </w:t>
      </w:r>
      <w:r w:rsidR="008E71E5">
        <w:t xml:space="preserve">estimates risk and </w:t>
      </w:r>
      <w:r w:rsidR="004556F1">
        <w:t>informs</w:t>
      </w:r>
      <w:r w:rsidR="00B55B44">
        <w:t xml:space="preserve"> </w:t>
      </w:r>
      <w:r w:rsidR="008E71E5">
        <w:t>appropriate follow-up</w:t>
      </w:r>
    </w:p>
    <w:p w14:paraId="77B34839" w14:textId="2A110F9B" w:rsidR="008F5E1F" w:rsidRDefault="008F5E1F" w:rsidP="00D250D3">
      <w:pPr>
        <w:spacing w:after="0"/>
      </w:pPr>
      <w:r w:rsidRPr="008F5E1F">
        <w:t xml:space="preserve">Elizabeth Suh-Burgmann, Tracy Flanagan, Todd </w:t>
      </w:r>
      <w:proofErr w:type="spellStart"/>
      <w:r w:rsidRPr="008F5E1F">
        <w:t>Osinski</w:t>
      </w:r>
      <w:proofErr w:type="spellEnd"/>
      <w:r w:rsidRPr="008F5E1F">
        <w:t xml:space="preserve">, </w:t>
      </w:r>
      <w:proofErr w:type="spellStart"/>
      <w:r w:rsidRPr="008F5E1F">
        <w:t>Mubarika</w:t>
      </w:r>
      <w:proofErr w:type="spellEnd"/>
      <w:r w:rsidRPr="008F5E1F">
        <w:t xml:space="preserve"> </w:t>
      </w:r>
      <w:proofErr w:type="spellStart"/>
      <w:r w:rsidRPr="008F5E1F">
        <w:t>Alavi</w:t>
      </w:r>
      <w:proofErr w:type="spellEnd"/>
      <w:r w:rsidRPr="008F5E1F">
        <w:t>, Lisa Herrinton</w:t>
      </w:r>
    </w:p>
    <w:tbl>
      <w:tblPr>
        <w:tblStyle w:val="TableGrid"/>
        <w:tblpPr w:leftFromText="187" w:rightFromText="187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2152"/>
        <w:gridCol w:w="8643"/>
      </w:tblGrid>
      <w:tr w:rsidR="00872640" w:rsidRPr="008A7C90" w14:paraId="114D48B4" w14:textId="77777777" w:rsidTr="00F70A4C">
        <w:trPr>
          <w:trHeight w:val="800"/>
        </w:trPr>
        <w:tc>
          <w:tcPr>
            <w:tcW w:w="2695" w:type="dxa"/>
          </w:tcPr>
          <w:p w14:paraId="0C8E8FE0" w14:textId="77777777" w:rsidR="00C00F55" w:rsidRPr="008A7C90" w:rsidRDefault="00C00F55" w:rsidP="00D250D3">
            <w:pPr>
              <w:spacing w:line="259" w:lineRule="auto"/>
            </w:pPr>
            <w:bookmarkStart w:id="0" w:name="_Hlk54105970"/>
            <w:r w:rsidRPr="008A7C90">
              <w:t>Challenge</w:t>
            </w:r>
          </w:p>
        </w:tc>
        <w:tc>
          <w:tcPr>
            <w:tcW w:w="8100" w:type="dxa"/>
          </w:tcPr>
          <w:p w14:paraId="27AC1FD0" w14:textId="01E6448C" w:rsidR="00C00F55" w:rsidRPr="00896042" w:rsidRDefault="00E96760" w:rsidP="00D250D3">
            <w:pPr>
              <w:rPr>
                <w:b/>
              </w:rPr>
            </w:pPr>
            <w:r>
              <w:rPr>
                <w:b/>
              </w:rPr>
              <w:t>N</w:t>
            </w:r>
            <w:r w:rsidR="005B5B84">
              <w:rPr>
                <w:b/>
              </w:rPr>
              <w:t>o established</w:t>
            </w:r>
            <w:r>
              <w:rPr>
                <w:b/>
              </w:rPr>
              <w:t xml:space="preserve"> evidence-based,</w:t>
            </w:r>
            <w:r w:rsidR="005B5B84">
              <w:rPr>
                <w:b/>
              </w:rPr>
              <w:t xml:space="preserve"> </w:t>
            </w:r>
            <w:r w:rsidR="009A44EC" w:rsidRPr="00896042">
              <w:rPr>
                <w:b/>
              </w:rPr>
              <w:t xml:space="preserve">integrated decision </w:t>
            </w:r>
            <w:r w:rsidR="005B5B84">
              <w:rPr>
                <w:b/>
              </w:rPr>
              <w:t>systems</w:t>
            </w:r>
            <w:r w:rsidR="009A44EC" w:rsidRPr="00896042">
              <w:rPr>
                <w:b/>
              </w:rPr>
              <w:t xml:space="preserve"> </w:t>
            </w:r>
            <w:r w:rsidR="00750592">
              <w:rPr>
                <w:b/>
              </w:rPr>
              <w:t xml:space="preserve">exist for </w:t>
            </w:r>
            <w:r w:rsidR="009A44EC" w:rsidRPr="00896042">
              <w:rPr>
                <w:b/>
              </w:rPr>
              <w:t>evaluati</w:t>
            </w:r>
            <w:r w:rsidR="00750592">
              <w:rPr>
                <w:b/>
              </w:rPr>
              <w:t>ng</w:t>
            </w:r>
            <w:r w:rsidR="009A44EC" w:rsidRPr="00896042">
              <w:rPr>
                <w:b/>
              </w:rPr>
              <w:t xml:space="preserve"> </w:t>
            </w:r>
            <w:r w:rsidR="005B5B84">
              <w:rPr>
                <w:b/>
              </w:rPr>
              <w:t>ovarian or adnexal</w:t>
            </w:r>
            <w:r w:rsidR="009A44EC" w:rsidRPr="00896042">
              <w:rPr>
                <w:b/>
              </w:rPr>
              <w:t xml:space="preserve"> masses/cysts.  If achieved, it would identify high risk</w:t>
            </w:r>
            <w:r w:rsidR="007C1F2C">
              <w:rPr>
                <w:b/>
              </w:rPr>
              <w:t xml:space="preserve"> women for</w:t>
            </w:r>
            <w:r w:rsidR="009A44EC" w:rsidRPr="00896042">
              <w:rPr>
                <w:b/>
              </w:rPr>
              <w:t xml:space="preserve"> prompt surgical evaluation </w:t>
            </w:r>
            <w:r w:rsidR="007C1F2C">
              <w:rPr>
                <w:b/>
              </w:rPr>
              <w:t xml:space="preserve">and </w:t>
            </w:r>
            <w:r w:rsidR="009A44EC" w:rsidRPr="00896042">
              <w:rPr>
                <w:b/>
              </w:rPr>
              <w:t xml:space="preserve">avoid unnecessary surgery and morbidity for women at low risk.  </w:t>
            </w:r>
          </w:p>
        </w:tc>
      </w:tr>
      <w:tr w:rsidR="00872640" w:rsidRPr="008A7C90" w14:paraId="1B565E6D" w14:textId="77777777" w:rsidTr="00F70A4C">
        <w:trPr>
          <w:trHeight w:val="710"/>
        </w:trPr>
        <w:tc>
          <w:tcPr>
            <w:tcW w:w="2695" w:type="dxa"/>
          </w:tcPr>
          <w:p w14:paraId="5CEAE892" w14:textId="77777777" w:rsidR="00C00F55" w:rsidRPr="008A7C90" w:rsidRDefault="00C00F55" w:rsidP="00D250D3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100" w:type="dxa"/>
          </w:tcPr>
          <w:p w14:paraId="3AE9184F" w14:textId="1EF61C1C" w:rsidR="00C00F55" w:rsidRPr="008A7C90" w:rsidRDefault="00E224DB" w:rsidP="00F70A4C">
            <w:r w:rsidRPr="00D250D3">
              <w:t>Adnexal masses</w:t>
            </w:r>
            <w:r w:rsidR="00C34223">
              <w:t>/cysts</w:t>
            </w:r>
            <w:r w:rsidRPr="00D250D3">
              <w:t xml:space="preserve"> are common, </w:t>
            </w:r>
            <w:r w:rsidR="008E5292">
              <w:t xml:space="preserve">present in </w:t>
            </w:r>
            <w:r w:rsidRPr="00D250D3">
              <w:t xml:space="preserve">7–12% </w:t>
            </w:r>
            <w:r w:rsidR="008E5292">
              <w:t>of</w:t>
            </w:r>
            <w:r w:rsidRPr="00D250D3">
              <w:t xml:space="preserve"> asymptomatic women.</w:t>
            </w:r>
            <w:r w:rsidRPr="00E224DB">
              <w:t xml:space="preserve"> </w:t>
            </w:r>
            <w:r w:rsidR="002B6B17">
              <w:t>The h</w:t>
            </w:r>
            <w:r w:rsidRPr="00E224DB">
              <w:t xml:space="preserve">igh prevalence of </w:t>
            </w:r>
            <w:r w:rsidR="00113A19">
              <w:t xml:space="preserve">incidentally discovered </w:t>
            </w:r>
            <w:r w:rsidRPr="00E224DB">
              <w:t>benign masses</w:t>
            </w:r>
            <w:r w:rsidR="00113A19">
              <w:t xml:space="preserve"> on ultrasound</w:t>
            </w:r>
            <w:r w:rsidR="002B6B17">
              <w:t>,</w:t>
            </w:r>
            <w:r w:rsidRPr="00E224DB">
              <w:t xml:space="preserve"> low </w:t>
            </w:r>
            <w:r w:rsidR="00124D2D">
              <w:t xml:space="preserve">cancer </w:t>
            </w:r>
            <w:r w:rsidRPr="00E224DB">
              <w:t>prevalence, and overlap between benign and malignant ultrasound characteristics</w:t>
            </w:r>
            <w:r w:rsidR="00124D2D">
              <w:t xml:space="preserve"> </w:t>
            </w:r>
            <w:r w:rsidRPr="00E224DB">
              <w:t>explain</w:t>
            </w:r>
            <w:r w:rsidR="00124D2D">
              <w:t>s</w:t>
            </w:r>
            <w:r w:rsidRPr="00E224DB">
              <w:t xml:space="preserve"> the lack of benefit of ovarian cancer screening. However, ultrasound detection lead</w:t>
            </w:r>
            <w:r w:rsidR="0068676A">
              <w:t>s</w:t>
            </w:r>
            <w:r w:rsidRPr="00E224DB">
              <w:t xml:space="preserve"> to concern</w:t>
            </w:r>
            <w:r w:rsidR="00C75108">
              <w:t>s</w:t>
            </w:r>
            <w:r w:rsidRPr="00E224DB">
              <w:t xml:space="preserve"> regarding ovarian cancer</w:t>
            </w:r>
            <w:r w:rsidR="008425C9">
              <w:t>,</w:t>
            </w:r>
            <w:r w:rsidRPr="00E224DB">
              <w:t xml:space="preserve"> subsequent surgical removal</w:t>
            </w:r>
            <w:r w:rsidR="008425C9">
              <w:t>,</w:t>
            </w:r>
            <w:r w:rsidRPr="00E224DB">
              <w:t xml:space="preserve"> or serial </w:t>
            </w:r>
            <w:r w:rsidR="008425C9">
              <w:t xml:space="preserve">monitoring with </w:t>
            </w:r>
            <w:r w:rsidRPr="00E224DB">
              <w:t>ultra</w:t>
            </w:r>
            <w:r w:rsidR="008425C9">
              <w:t>sound</w:t>
            </w:r>
            <w:r w:rsidRPr="00E224DB">
              <w:t xml:space="preserve">. </w:t>
            </w:r>
            <w:r w:rsidR="008425C9">
              <w:t>S</w:t>
            </w:r>
            <w:r w:rsidRPr="00E224DB">
              <w:t>tandardize</w:t>
            </w:r>
            <w:r w:rsidR="008425C9">
              <w:t>d</w:t>
            </w:r>
            <w:r w:rsidRPr="00E224DB">
              <w:t xml:space="preserve"> risk</w:t>
            </w:r>
            <w:r w:rsidR="008425C9">
              <w:t xml:space="preserve"> assessment</w:t>
            </w:r>
            <w:r w:rsidR="00E96760">
              <w:t xml:space="preserve"> methods</w:t>
            </w:r>
            <w:r w:rsidRPr="00E224DB">
              <w:t xml:space="preserve"> have been adopted for other abnormal imaging findings</w:t>
            </w:r>
            <w:r w:rsidR="00C1605E">
              <w:t>, such as</w:t>
            </w:r>
            <w:r w:rsidRPr="00E224DB">
              <w:t xml:space="preserve"> the Breast Imaging Reporting and Data System</w:t>
            </w:r>
            <w:r w:rsidR="00CC4F50">
              <w:t xml:space="preserve"> (BIRADS)</w:t>
            </w:r>
            <w:r w:rsidRPr="00E224DB">
              <w:t xml:space="preserve"> for mammography, the </w:t>
            </w:r>
            <w:proofErr w:type="spellStart"/>
            <w:r w:rsidRPr="00E224DB">
              <w:t>Fleischner</w:t>
            </w:r>
            <w:proofErr w:type="spellEnd"/>
            <w:r w:rsidRPr="00E224DB">
              <w:t xml:space="preserve"> system for lung nodules. </w:t>
            </w:r>
            <w:r w:rsidR="00C1605E">
              <w:t>A</w:t>
            </w:r>
            <w:r w:rsidRPr="00E224DB">
              <w:t xml:space="preserve">lgorithms have been proposed </w:t>
            </w:r>
            <w:r w:rsidR="00C1605E">
              <w:t xml:space="preserve">for </w:t>
            </w:r>
            <w:r w:rsidRPr="00E224DB">
              <w:t xml:space="preserve">adnexal masses, </w:t>
            </w:r>
            <w:r w:rsidR="00C1605E">
              <w:t xml:space="preserve">but </w:t>
            </w:r>
            <w:r w:rsidRPr="00E224DB">
              <w:t xml:space="preserve">none have been widely adopted. </w:t>
            </w:r>
          </w:p>
        </w:tc>
      </w:tr>
      <w:tr w:rsidR="00872640" w:rsidRPr="008A7C90" w14:paraId="4508CAEC" w14:textId="77777777" w:rsidTr="00F70A4C">
        <w:trPr>
          <w:trHeight w:val="262"/>
        </w:trPr>
        <w:tc>
          <w:tcPr>
            <w:tcW w:w="2695" w:type="dxa"/>
          </w:tcPr>
          <w:p w14:paraId="5B713943" w14:textId="77777777" w:rsidR="00C00F55" w:rsidRPr="008A7C90" w:rsidRDefault="00C00F55" w:rsidP="00D250D3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100" w:type="dxa"/>
          </w:tcPr>
          <w:p w14:paraId="21AEABFD" w14:textId="5776B70B" w:rsidR="00C00F55" w:rsidRPr="008A7C90" w:rsidRDefault="009A44EC" w:rsidP="00D250D3">
            <w:r w:rsidRPr="009A44EC">
              <w:t>Average-risk women undergoing ultrasonography</w:t>
            </w:r>
            <w:r>
              <w:t>.</w:t>
            </w:r>
          </w:p>
        </w:tc>
      </w:tr>
      <w:tr w:rsidR="00872640" w:rsidRPr="008A7C90" w14:paraId="6BF408F1" w14:textId="77777777" w:rsidTr="00F70A4C">
        <w:trPr>
          <w:trHeight w:val="276"/>
        </w:trPr>
        <w:tc>
          <w:tcPr>
            <w:tcW w:w="2695" w:type="dxa"/>
          </w:tcPr>
          <w:p w14:paraId="7D5D9A8B" w14:textId="77777777" w:rsidR="00C00F55" w:rsidRPr="008A7C90" w:rsidRDefault="00C00F55" w:rsidP="00D250D3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100" w:type="dxa"/>
          </w:tcPr>
          <w:p w14:paraId="0AFECC66" w14:textId="3D57A306" w:rsidR="00C00F55" w:rsidRPr="008A7C90" w:rsidRDefault="00CC4F50" w:rsidP="00D250D3">
            <w:r>
              <w:t>Risk stratification system for</w:t>
            </w:r>
            <w:r w:rsidR="009A44EC" w:rsidRPr="009A44EC">
              <w:t xml:space="preserve"> adnexal masses </w:t>
            </w:r>
            <w:r>
              <w:t>based on standardized ultrasound characteristics</w:t>
            </w:r>
            <w:r w:rsidR="009A44EC" w:rsidRPr="009A44EC">
              <w:t>.</w:t>
            </w:r>
          </w:p>
        </w:tc>
      </w:tr>
      <w:tr w:rsidR="00872640" w:rsidRPr="008A7C90" w14:paraId="0F388BD3" w14:textId="77777777" w:rsidTr="00F70A4C">
        <w:trPr>
          <w:trHeight w:val="1884"/>
        </w:trPr>
        <w:tc>
          <w:tcPr>
            <w:tcW w:w="2695" w:type="dxa"/>
          </w:tcPr>
          <w:p w14:paraId="0C0805FB" w14:textId="77777777" w:rsidR="00C00F55" w:rsidRPr="008A7C90" w:rsidRDefault="00C00F55" w:rsidP="00D250D3">
            <w:pPr>
              <w:spacing w:line="259" w:lineRule="auto"/>
            </w:pPr>
            <w:r w:rsidRPr="008A7C90">
              <w:t>Outcomes/Key Findings</w:t>
            </w:r>
          </w:p>
        </w:tc>
        <w:tc>
          <w:tcPr>
            <w:tcW w:w="8100" w:type="dxa"/>
          </w:tcPr>
          <w:p w14:paraId="2ADA2E8C" w14:textId="30C52F9F" w:rsidR="00C00F55" w:rsidRPr="008A7C90" w:rsidRDefault="002F2003" w:rsidP="00D250D3">
            <w:r w:rsidRPr="00C60A21">
              <w:rPr>
                <w:b/>
                <w:bCs/>
              </w:rPr>
              <w:t xml:space="preserve">A new evidence-based risk stratification system for ovarian cysts/masses, with follow-up recommendations, was </w:t>
            </w:r>
            <w:r w:rsidR="00F20647">
              <w:rPr>
                <w:b/>
                <w:bCs/>
              </w:rPr>
              <w:t xml:space="preserve">developed, validated, </w:t>
            </w:r>
            <w:r w:rsidRPr="00C60A21">
              <w:rPr>
                <w:b/>
                <w:bCs/>
              </w:rPr>
              <w:t>and integrated into radiology reports.</w:t>
            </w:r>
            <w:r>
              <w:t xml:space="preserve">  </w:t>
            </w:r>
            <w:r w:rsidR="00B27D31">
              <w:t>R</w:t>
            </w:r>
            <w:r w:rsidR="00087FB7">
              <w:t>eporting categories</w:t>
            </w:r>
            <w:r w:rsidR="00087FB7" w:rsidRPr="009A44EC">
              <w:t xml:space="preserve"> 1, 2, 3, and X </w:t>
            </w:r>
            <w:r w:rsidR="00087FB7">
              <w:t>allowed risk stratification (</w:t>
            </w:r>
            <w:r w:rsidR="00385275">
              <w:t>table</w:t>
            </w:r>
            <w:r w:rsidR="00087FB7">
              <w:t>) relative to women with normal examinations</w:t>
            </w:r>
            <w:r w:rsidR="003F29AE">
              <w:t xml:space="preserve"> </w:t>
            </w:r>
            <w:r w:rsidR="005B57BC">
              <w:t>(category 0)</w:t>
            </w:r>
            <w:r w:rsidR="00087FB7">
              <w:t xml:space="preserve">. </w:t>
            </w:r>
            <w:r w:rsidR="005361B6" w:rsidRPr="005361B6">
              <w:t>Categories 1, 2, 3, and X were associated with increasing risk</w:t>
            </w:r>
            <w:r w:rsidR="0001597B">
              <w:t>s</w:t>
            </w:r>
            <w:r w:rsidR="005361B6" w:rsidRPr="005361B6">
              <w:t xml:space="preserve"> of ovarian cancer diagnosis</w:t>
            </w:r>
            <w:r w:rsidR="0001597B">
              <w:t xml:space="preserve">: </w:t>
            </w:r>
            <w:r w:rsidR="005361B6" w:rsidRPr="005361B6">
              <w:t>0.2% (95% CI 0.05–0.3%) for category 1, 1.3% (95% CI 0.7–1.9%) for category 2, 6.0% (95% CI 3.0–8.9%), for category 3, and 13.0% (95% CI 9.5–16.4%) for category X</w:t>
            </w:r>
            <w:r w:rsidR="00B27D31">
              <w:t xml:space="preserve"> while </w:t>
            </w:r>
            <w:r w:rsidR="00796450">
              <w:t>C</w:t>
            </w:r>
            <w:r w:rsidR="005361B6" w:rsidRPr="005361B6">
              <w:t>ategory 0 studie</w:t>
            </w:r>
            <w:r w:rsidR="00796450">
              <w:t>s</w:t>
            </w:r>
            <w:r w:rsidR="005361B6" w:rsidRPr="005361B6">
              <w:t xml:space="preserve"> were associated with a risk of 0.1% (95% CI 0.07–0.14%)</w:t>
            </w:r>
            <w:r w:rsidR="00774625">
              <w:t>.</w:t>
            </w:r>
            <w:r w:rsidR="009A44EC" w:rsidRPr="009A44EC">
              <w:t xml:space="preserve"> </w:t>
            </w:r>
          </w:p>
        </w:tc>
      </w:tr>
      <w:tr w:rsidR="00872640" w:rsidRPr="008A7C90" w14:paraId="28982E72" w14:textId="77777777" w:rsidTr="00F70A4C">
        <w:trPr>
          <w:trHeight w:val="876"/>
        </w:trPr>
        <w:tc>
          <w:tcPr>
            <w:tcW w:w="2695" w:type="dxa"/>
          </w:tcPr>
          <w:p w14:paraId="0758E4C3" w14:textId="77777777" w:rsidR="00C00F55" w:rsidRPr="008A7C90" w:rsidRDefault="00C00F55" w:rsidP="00D250D3">
            <w:pPr>
              <w:spacing w:line="259" w:lineRule="auto"/>
            </w:pPr>
            <w:r w:rsidRPr="008A7C90">
              <w:t>Resulting Action/Change</w:t>
            </w:r>
          </w:p>
        </w:tc>
        <w:tc>
          <w:tcPr>
            <w:tcW w:w="8100" w:type="dxa"/>
          </w:tcPr>
          <w:p w14:paraId="35A57C24" w14:textId="5CBB28EA" w:rsidR="00C00F55" w:rsidRPr="00CE35F3" w:rsidRDefault="0089559F" w:rsidP="00D250D3">
            <w:pPr>
              <w:rPr>
                <w:b/>
                <w:bCs/>
              </w:rPr>
            </w:pPr>
            <w:r w:rsidRPr="282E6E3D">
              <w:rPr>
                <w:b/>
                <w:bCs/>
              </w:rPr>
              <w:t xml:space="preserve">This category system provides the first </w:t>
            </w:r>
            <w:r w:rsidR="00CC4F50" w:rsidRPr="282E6E3D">
              <w:rPr>
                <w:b/>
                <w:bCs/>
              </w:rPr>
              <w:t xml:space="preserve">standardized risk stratification system for adnexal masses </w:t>
            </w:r>
            <w:r w:rsidRPr="282E6E3D">
              <w:rPr>
                <w:b/>
                <w:bCs/>
              </w:rPr>
              <w:t xml:space="preserve">integrated into routine care through radiology reporting </w:t>
            </w:r>
            <w:r w:rsidR="00CC4F50" w:rsidRPr="282E6E3D">
              <w:rPr>
                <w:b/>
                <w:bCs/>
              </w:rPr>
              <w:t>in a community-based setting</w:t>
            </w:r>
            <w:r w:rsidR="00BC2756" w:rsidRPr="282E6E3D">
              <w:rPr>
                <w:b/>
                <w:bCs/>
              </w:rPr>
              <w:t xml:space="preserve">.  This is changing current care and will </w:t>
            </w:r>
            <w:r w:rsidRPr="282E6E3D">
              <w:rPr>
                <w:b/>
                <w:bCs/>
              </w:rPr>
              <w:t xml:space="preserve">further inform ongoing data-driven </w:t>
            </w:r>
            <w:r w:rsidR="00461217">
              <w:rPr>
                <w:b/>
                <w:bCs/>
              </w:rPr>
              <w:t>care</w:t>
            </w:r>
            <w:r w:rsidRPr="282E6E3D">
              <w:rPr>
                <w:b/>
                <w:bCs/>
              </w:rPr>
              <w:t>.</w:t>
            </w:r>
          </w:p>
        </w:tc>
      </w:tr>
      <w:tr w:rsidR="00461217" w:rsidRPr="008A7C90" w14:paraId="369E94E7" w14:textId="77777777" w:rsidTr="00F70A4C">
        <w:trPr>
          <w:trHeight w:val="710"/>
        </w:trPr>
        <w:tc>
          <w:tcPr>
            <w:tcW w:w="2695" w:type="dxa"/>
          </w:tcPr>
          <w:p w14:paraId="6A28E2A5" w14:textId="2F436FE2" w:rsidR="00461217" w:rsidRPr="008A7C90" w:rsidRDefault="00461217" w:rsidP="00D250D3">
            <w:r>
              <w:t>Additional recommendations</w:t>
            </w:r>
          </w:p>
        </w:tc>
        <w:tc>
          <w:tcPr>
            <w:tcW w:w="8100" w:type="dxa"/>
          </w:tcPr>
          <w:p w14:paraId="3D8BC8AE" w14:textId="7EC9F972" w:rsidR="00461217" w:rsidRPr="007C44D8" w:rsidRDefault="005A4084" w:rsidP="00D250D3">
            <w:r>
              <w:t xml:space="preserve">Development, validation, and implementation of similar </w:t>
            </w:r>
            <w:r w:rsidR="007F1DC9">
              <w:t xml:space="preserve">risk estimating methods </w:t>
            </w:r>
            <w:r w:rsidR="00433C0A">
              <w:t xml:space="preserve">for other conditions </w:t>
            </w:r>
            <w:r w:rsidR="007B30F5">
              <w:t xml:space="preserve">requiring </w:t>
            </w:r>
            <w:r w:rsidR="00EF5E0E">
              <w:t xml:space="preserve">surveillance can </w:t>
            </w:r>
            <w:r w:rsidR="00103A2B">
              <w:t>inform evidence-based follow-up and decrease patient and provider uncertainty</w:t>
            </w:r>
            <w:r w:rsidR="00FC1114">
              <w:t xml:space="preserve"> for care intervals.</w:t>
            </w:r>
          </w:p>
        </w:tc>
      </w:tr>
      <w:tr w:rsidR="00872640" w:rsidRPr="008A7C90" w14:paraId="7A183D36" w14:textId="77777777" w:rsidTr="00F70A4C">
        <w:trPr>
          <w:trHeight w:val="542"/>
        </w:trPr>
        <w:tc>
          <w:tcPr>
            <w:tcW w:w="2695" w:type="dxa"/>
          </w:tcPr>
          <w:p w14:paraId="713A9C2F" w14:textId="77777777" w:rsidR="00C00F55" w:rsidRPr="008A7C90" w:rsidRDefault="00C00F55" w:rsidP="00D250D3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100" w:type="dxa"/>
          </w:tcPr>
          <w:p w14:paraId="7086AFEE" w14:textId="131D93D1" w:rsidR="00C00F55" w:rsidRPr="008A7C90" w:rsidRDefault="007C44D8" w:rsidP="00D250D3">
            <w:r w:rsidRPr="007C44D8">
              <w:t>Radiology report</w:t>
            </w:r>
            <w:r w:rsidR="00CC4F50">
              <w:t>ing</w:t>
            </w:r>
            <w:r w:rsidRPr="007C44D8">
              <w:t xml:space="preserve"> </w:t>
            </w:r>
            <w:r w:rsidR="00CC4F50">
              <w:t>templates</w:t>
            </w:r>
            <w:r w:rsidR="00CC4F50" w:rsidRPr="007C44D8">
              <w:t xml:space="preserve"> </w:t>
            </w:r>
            <w:r w:rsidRPr="007C44D8">
              <w:t xml:space="preserve">with evidence-based classification system and </w:t>
            </w:r>
            <w:r w:rsidR="00CC4F50">
              <w:t xml:space="preserve">a Practice Resource that provides clinical </w:t>
            </w:r>
            <w:r w:rsidRPr="007C44D8">
              <w:t>recommendations.</w:t>
            </w:r>
          </w:p>
        </w:tc>
      </w:tr>
      <w:tr w:rsidR="00872640" w:rsidRPr="008A7C90" w14:paraId="4E70A877" w14:textId="77777777" w:rsidTr="00F70A4C">
        <w:trPr>
          <w:trHeight w:val="552"/>
        </w:trPr>
        <w:tc>
          <w:tcPr>
            <w:tcW w:w="2695" w:type="dxa"/>
          </w:tcPr>
          <w:p w14:paraId="0EF13549" w14:textId="58FD01DE" w:rsidR="00C00F55" w:rsidRPr="008A7C90" w:rsidRDefault="00CC5002" w:rsidP="00D250D3">
            <w:pPr>
              <w:spacing w:line="259" w:lineRule="auto"/>
            </w:pPr>
            <w:r>
              <w:t>Implementation and Follow-up Measures</w:t>
            </w:r>
          </w:p>
        </w:tc>
        <w:tc>
          <w:tcPr>
            <w:tcW w:w="8100" w:type="dxa"/>
          </w:tcPr>
          <w:p w14:paraId="5695DDF3" w14:textId="22A7E834" w:rsidR="00C00F55" w:rsidRPr="008A7C90" w:rsidRDefault="009408F9" w:rsidP="00D250D3">
            <w:r>
              <w:t xml:space="preserve">Utilization </w:t>
            </w:r>
            <w:r w:rsidR="003A414D">
              <w:t xml:space="preserve">of risk stratification and appropriate follow-up (implementation); </w:t>
            </w:r>
            <w:r w:rsidR="0041738A">
              <w:t xml:space="preserve">cancer detection </w:t>
            </w:r>
            <w:r w:rsidR="00AA09DF">
              <w:t xml:space="preserve">(effectiveness); </w:t>
            </w:r>
            <w:r w:rsidR="00A45ACF">
              <w:t>use of surgery and ultrasound</w:t>
            </w:r>
            <w:r w:rsidR="004878E0">
              <w:t xml:space="preserve"> (</w:t>
            </w:r>
            <w:r w:rsidR="00ED24FC">
              <w:t>utilization)</w:t>
            </w:r>
            <w:r w:rsidR="00824F0A" w:rsidRPr="00824F0A">
              <w:t>.</w:t>
            </w:r>
          </w:p>
        </w:tc>
      </w:tr>
      <w:tr w:rsidR="00872640" w:rsidRPr="008A7C90" w14:paraId="6911A7DF" w14:textId="77777777" w:rsidTr="00F70A4C">
        <w:trPr>
          <w:trHeight w:val="260"/>
        </w:trPr>
        <w:tc>
          <w:tcPr>
            <w:tcW w:w="2695" w:type="dxa"/>
          </w:tcPr>
          <w:p w14:paraId="1E297986" w14:textId="0E22F10B" w:rsidR="008F5E1F" w:rsidRPr="008A7C90" w:rsidRDefault="00C00F55" w:rsidP="00D250D3">
            <w:r>
              <w:t>Reference(s) [Key Figure if applicable]</w:t>
            </w:r>
          </w:p>
        </w:tc>
        <w:tc>
          <w:tcPr>
            <w:tcW w:w="8100" w:type="dxa"/>
          </w:tcPr>
          <w:p w14:paraId="284DB665" w14:textId="77777777" w:rsidR="003B4EF7" w:rsidRDefault="003B4EF7" w:rsidP="003B4EF7">
            <w:r>
              <w:t>-</w:t>
            </w:r>
            <w:r w:rsidRPr="0055439B">
              <w:t xml:space="preserve">Suh-Burgmann E, </w:t>
            </w:r>
            <w:r>
              <w:t xml:space="preserve">et al. </w:t>
            </w:r>
            <w:r w:rsidRPr="0055439B">
              <w:t xml:space="preserve">Prospective Validation of a Standardized Ultrasonography-Based Ovarian Cancer Risk Assessment System. </w:t>
            </w:r>
            <w:proofErr w:type="spellStart"/>
            <w:r w:rsidRPr="0055439B">
              <w:t>Obstet</w:t>
            </w:r>
            <w:proofErr w:type="spellEnd"/>
            <w:r w:rsidRPr="0055439B">
              <w:t xml:space="preserve"> Gynecol. 2018 Nov;132(5):1101-1111.  </w:t>
            </w:r>
          </w:p>
          <w:p w14:paraId="5264C9C3" w14:textId="43426703" w:rsidR="003B4EF7" w:rsidRDefault="003B4EF7" w:rsidP="003B4EF7">
            <w:r>
              <w:t>-</w:t>
            </w:r>
            <w:r w:rsidRPr="0055439B">
              <w:t xml:space="preserve">Suh-Burgmann EJ, Flanagan T, </w:t>
            </w:r>
            <w:r>
              <w:t>et al.</w:t>
            </w:r>
            <w:r w:rsidRPr="0055439B">
              <w:t xml:space="preserve"> Large-Scale Implementation of Structured Reporting of Adnexal Masses on Ultrasound. J Am Coll </w:t>
            </w:r>
            <w:proofErr w:type="spellStart"/>
            <w:r w:rsidRPr="0055439B">
              <w:t>Radiol</w:t>
            </w:r>
            <w:proofErr w:type="spellEnd"/>
            <w:r w:rsidRPr="0055439B">
              <w:t>. 2018 May;15(5):755-761</w:t>
            </w:r>
          </w:p>
          <w:tbl>
            <w:tblPr>
              <w:tblStyle w:val="TableGrid"/>
              <w:tblW w:w="8417" w:type="dxa"/>
              <w:tblLook w:val="04A0" w:firstRow="1" w:lastRow="0" w:firstColumn="1" w:lastColumn="0" w:noHBand="0" w:noVBand="1"/>
            </w:tblPr>
            <w:tblGrid>
              <w:gridCol w:w="1105"/>
              <w:gridCol w:w="943"/>
              <w:gridCol w:w="861"/>
              <w:gridCol w:w="1038"/>
              <w:gridCol w:w="1203"/>
              <w:gridCol w:w="1203"/>
              <w:gridCol w:w="991"/>
              <w:gridCol w:w="1073"/>
            </w:tblGrid>
            <w:tr w:rsidR="00E777D4" w:rsidRPr="00265C1D" w14:paraId="1D51A593" w14:textId="77777777" w:rsidTr="00F70A4C">
              <w:trPr>
                <w:trHeight w:val="421"/>
              </w:trPr>
              <w:tc>
                <w:tcPr>
                  <w:tcW w:w="3947" w:type="dxa"/>
                  <w:gridSpan w:val="4"/>
                </w:tcPr>
                <w:p w14:paraId="3F90031C" w14:textId="0B2A9E6F" w:rsidR="00BD0AB1" w:rsidRPr="00265C1D" w:rsidRDefault="00CA404A" w:rsidP="00CD2643">
                  <w:pPr>
                    <w:framePr w:hSpace="187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  <w:r w:rsidRPr="00F70A4C">
                    <w:rPr>
                      <w:b/>
                      <w:bCs/>
                    </w:rPr>
                    <w:t>Risk of ovarian cancer by ultrasound reporting category by baseline ultrasound findings</w:t>
                  </w:r>
                </w:p>
              </w:tc>
              <w:tc>
                <w:tcPr>
                  <w:tcW w:w="1203" w:type="dxa"/>
                </w:tcPr>
                <w:p w14:paraId="12D42410" w14:textId="77777777" w:rsidR="00BD0AB1" w:rsidRPr="00265C1D" w:rsidRDefault="00BD0AB1" w:rsidP="00CD2643">
                  <w:pPr>
                    <w:framePr w:hSpace="187" w:wrap="around" w:vAnchor="text" w:hAnchor="text" w:y="1"/>
                    <w:tabs>
                      <w:tab w:val="left" w:pos="1351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Incidence rate </w:t>
                  </w:r>
                </w:p>
              </w:tc>
              <w:tc>
                <w:tcPr>
                  <w:tcW w:w="1203" w:type="dxa"/>
                </w:tcPr>
                <w:p w14:paraId="6F7839F3" w14:textId="77777777" w:rsidR="00BD0AB1" w:rsidRPr="00265C1D" w:rsidRDefault="00BD0AB1" w:rsidP="00CD2643">
                  <w:pPr>
                    <w:framePr w:hSpace="187" w:wrap="around" w:vAnchor="text" w:hAnchor="text" w:y="1"/>
                    <w:tabs>
                      <w:tab w:val="left" w:pos="1351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Incidence rate</w:t>
                  </w:r>
                </w:p>
              </w:tc>
              <w:tc>
                <w:tcPr>
                  <w:tcW w:w="2064" w:type="dxa"/>
                  <w:gridSpan w:val="2"/>
                </w:tcPr>
                <w:p w14:paraId="72540BB2" w14:textId="7D0CBD72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Number needed to examine</w:t>
                  </w:r>
                  <w:r w:rsidR="005B5B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24A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to detect </w:t>
                  </w:r>
                  <w:proofErr w:type="spellStart"/>
                  <w:r w:rsidR="00024A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onc</w:t>
                  </w:r>
                  <w:proofErr w:type="spellEnd"/>
                </w:p>
              </w:tc>
            </w:tr>
            <w:tr w:rsidR="00164448" w:rsidRPr="00265C1D" w14:paraId="01DDC1D9" w14:textId="77777777" w:rsidTr="00D546AF">
              <w:trPr>
                <w:trHeight w:val="554"/>
              </w:trPr>
              <w:tc>
                <w:tcPr>
                  <w:tcW w:w="1097" w:type="dxa"/>
                  <w:hideMark/>
                </w:tcPr>
                <w:p w14:paraId="6049C042" w14:textId="778EE20B" w:rsidR="00BD0AB1" w:rsidRPr="00265C1D" w:rsidRDefault="005B5B84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Ultrasound </w:t>
                  </w:r>
                  <w:r w:rsidR="00BD0AB1"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Category</w:t>
                  </w:r>
                </w:p>
                <w:p w14:paraId="0861853D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</w:tcPr>
                <w:p w14:paraId="20411FCC" w14:textId="68AAF323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women at </w:t>
                  </w:r>
                  <w:r w:rsidR="00D425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risk</w:t>
                  </w: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4" w:type="dxa"/>
                  <w:hideMark/>
                </w:tcPr>
                <w:p w14:paraId="7D6D9625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Ovarian cancer</w:t>
                  </w:r>
                </w:p>
              </w:tc>
              <w:tc>
                <w:tcPr>
                  <w:tcW w:w="1030" w:type="dxa"/>
                  <w:hideMark/>
                </w:tcPr>
                <w:p w14:paraId="7025FCC1" w14:textId="6BED2AFF" w:rsidR="00BD0AB1" w:rsidRPr="00265C1D" w:rsidRDefault="00164448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="00BD0AB1"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ancer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</w:t>
                  </w:r>
                  <w:r w:rsidR="00BD0AB1"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borderline</w:t>
                  </w:r>
                </w:p>
                <w:p w14:paraId="7C5E66EE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3" w:type="dxa"/>
                  <w:hideMark/>
                </w:tcPr>
                <w:p w14:paraId="4C9FAB2D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Ovarian cancer</w:t>
                  </w:r>
                </w:p>
              </w:tc>
              <w:tc>
                <w:tcPr>
                  <w:tcW w:w="1203" w:type="dxa"/>
                  <w:hideMark/>
                </w:tcPr>
                <w:p w14:paraId="1300BAA1" w14:textId="741D9348" w:rsidR="00D42533" w:rsidRPr="00265C1D" w:rsidRDefault="00024AEE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="00D42533"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ancer</w:t>
                  </w:r>
                  <w:r w:rsidR="00D425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D42533"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borderline</w:t>
                  </w:r>
                </w:p>
                <w:p w14:paraId="2476BAC9" w14:textId="04977938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hideMark/>
                </w:tcPr>
                <w:p w14:paraId="664CAC50" w14:textId="3201481B" w:rsidR="00BD0AB1" w:rsidRPr="00265C1D" w:rsidRDefault="00024AEE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Cancer</w:t>
                  </w:r>
                </w:p>
              </w:tc>
              <w:tc>
                <w:tcPr>
                  <w:tcW w:w="1072" w:type="dxa"/>
                  <w:hideMark/>
                </w:tcPr>
                <w:p w14:paraId="651F6E77" w14:textId="5B4CC66B" w:rsidR="00BD0AB1" w:rsidRPr="00265C1D" w:rsidRDefault="00024AEE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="00D425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ancer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</w:t>
                  </w:r>
                  <w:r w:rsidR="00164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425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borderline</w:t>
                  </w:r>
                </w:p>
              </w:tc>
            </w:tr>
            <w:tr w:rsidR="00164448" w:rsidRPr="00265C1D" w14:paraId="6BD48C08" w14:textId="77777777" w:rsidTr="00D546AF">
              <w:trPr>
                <w:trHeight w:val="206"/>
              </w:trPr>
              <w:tc>
                <w:tcPr>
                  <w:tcW w:w="1097" w:type="dxa"/>
                  <w:noWrap/>
                  <w:hideMark/>
                </w:tcPr>
                <w:p w14:paraId="3362438D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965" w:type="dxa"/>
                </w:tcPr>
                <w:p w14:paraId="5BC64806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36,768</w:t>
                  </w:r>
                </w:p>
              </w:tc>
              <w:tc>
                <w:tcPr>
                  <w:tcW w:w="854" w:type="dxa"/>
                  <w:noWrap/>
                  <w:hideMark/>
                </w:tcPr>
                <w:p w14:paraId="60C5E9D1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30" w:type="dxa"/>
                  <w:noWrap/>
                  <w:hideMark/>
                </w:tcPr>
                <w:p w14:paraId="23A7D663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203" w:type="dxa"/>
                  <w:noWrap/>
                  <w:hideMark/>
                </w:tcPr>
                <w:p w14:paraId="78D8572C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0.10%</w:t>
                  </w:r>
                </w:p>
                <w:p w14:paraId="1E953091" w14:textId="2B64E026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3" w:type="dxa"/>
                  <w:noWrap/>
                  <w:hideMark/>
                </w:tcPr>
                <w:p w14:paraId="5C74EEA2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0.11%</w:t>
                  </w:r>
                </w:p>
                <w:p w14:paraId="0CF3B364" w14:textId="57F7CD26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14:paraId="7C35C470" w14:textId="77777777" w:rsidR="00BD0AB1" w:rsidRPr="00F70A4C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0A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967</w:t>
                  </w:r>
                </w:p>
                <w:p w14:paraId="35BDF6F9" w14:textId="5885FF3F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  <w:noWrap/>
                  <w:hideMark/>
                </w:tcPr>
                <w:p w14:paraId="53B872B7" w14:textId="77777777" w:rsidR="00BD0AB1" w:rsidRPr="00F70A4C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0A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875</w:t>
                  </w:r>
                </w:p>
                <w:p w14:paraId="6615C286" w14:textId="279E08ED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4448" w:rsidRPr="00265C1D" w14:paraId="263BE159" w14:textId="77777777" w:rsidTr="00D546AF">
              <w:trPr>
                <w:trHeight w:val="206"/>
              </w:trPr>
              <w:tc>
                <w:tcPr>
                  <w:tcW w:w="1097" w:type="dxa"/>
                  <w:noWrap/>
                  <w:hideMark/>
                </w:tcPr>
                <w:p w14:paraId="540D0AB0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965" w:type="dxa"/>
                </w:tcPr>
                <w:p w14:paraId="135FDE7A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4813</w:t>
                  </w:r>
                </w:p>
              </w:tc>
              <w:tc>
                <w:tcPr>
                  <w:tcW w:w="854" w:type="dxa"/>
                  <w:noWrap/>
                  <w:hideMark/>
                </w:tcPr>
                <w:p w14:paraId="5FE6AE4F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30" w:type="dxa"/>
                  <w:noWrap/>
                  <w:hideMark/>
                </w:tcPr>
                <w:p w14:paraId="2FB9EB2F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203" w:type="dxa"/>
                  <w:noWrap/>
                  <w:hideMark/>
                </w:tcPr>
                <w:p w14:paraId="76021672" w14:textId="6D3A9C7E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0.17%</w:t>
                  </w:r>
                </w:p>
              </w:tc>
              <w:tc>
                <w:tcPr>
                  <w:tcW w:w="1203" w:type="dxa"/>
                  <w:noWrap/>
                  <w:hideMark/>
                </w:tcPr>
                <w:p w14:paraId="040F3465" w14:textId="3E9F58C6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0.39%</w:t>
                  </w:r>
                </w:p>
              </w:tc>
              <w:tc>
                <w:tcPr>
                  <w:tcW w:w="991" w:type="dxa"/>
                  <w:noWrap/>
                  <w:hideMark/>
                </w:tcPr>
                <w:p w14:paraId="49900914" w14:textId="3DD83E0D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A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72" w:type="dxa"/>
                  <w:noWrap/>
                  <w:hideMark/>
                </w:tcPr>
                <w:p w14:paraId="1C34876B" w14:textId="22428284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70A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253 </w:t>
                  </w:r>
                </w:p>
              </w:tc>
            </w:tr>
            <w:tr w:rsidR="00164448" w:rsidRPr="00265C1D" w14:paraId="1CABA5E8" w14:textId="77777777" w:rsidTr="00D546AF">
              <w:trPr>
                <w:trHeight w:val="206"/>
              </w:trPr>
              <w:tc>
                <w:tcPr>
                  <w:tcW w:w="1097" w:type="dxa"/>
                  <w:noWrap/>
                  <w:hideMark/>
                </w:tcPr>
                <w:p w14:paraId="6240E620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965" w:type="dxa"/>
                </w:tcPr>
                <w:p w14:paraId="6EC94ECF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1404</w:t>
                  </w:r>
                </w:p>
              </w:tc>
              <w:tc>
                <w:tcPr>
                  <w:tcW w:w="854" w:type="dxa"/>
                  <w:noWrap/>
                  <w:hideMark/>
                </w:tcPr>
                <w:p w14:paraId="3BE15EB3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30" w:type="dxa"/>
                  <w:noWrap/>
                  <w:hideMark/>
                </w:tcPr>
                <w:p w14:paraId="4FFACA79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203" w:type="dxa"/>
                  <w:noWrap/>
                  <w:hideMark/>
                </w:tcPr>
                <w:p w14:paraId="3A45AF6D" w14:textId="53C5129A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1.28</w:t>
                  </w:r>
                  <w:r w:rsidR="00502E7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03" w:type="dxa"/>
                  <w:noWrap/>
                  <w:hideMark/>
                </w:tcPr>
                <w:p w14:paraId="1E67B33B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2.35%</w:t>
                  </w:r>
                </w:p>
                <w:p w14:paraId="0B538E9E" w14:textId="4A67820D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14:paraId="62E7EEA0" w14:textId="41B7FA2A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A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072" w:type="dxa"/>
                  <w:noWrap/>
                  <w:hideMark/>
                </w:tcPr>
                <w:p w14:paraId="653E28AF" w14:textId="23340952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70A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</w:t>
                  </w:r>
                </w:p>
              </w:tc>
            </w:tr>
            <w:tr w:rsidR="00164448" w:rsidRPr="00265C1D" w14:paraId="6F38D57A" w14:textId="77777777" w:rsidTr="00D546AF">
              <w:trPr>
                <w:trHeight w:val="206"/>
              </w:trPr>
              <w:tc>
                <w:tcPr>
                  <w:tcW w:w="1097" w:type="dxa"/>
                  <w:noWrap/>
                  <w:hideMark/>
                </w:tcPr>
                <w:p w14:paraId="00087114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965" w:type="dxa"/>
                </w:tcPr>
                <w:p w14:paraId="5EE6BDCB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854" w:type="dxa"/>
                  <w:noWrap/>
                  <w:hideMark/>
                </w:tcPr>
                <w:p w14:paraId="550BF10F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30" w:type="dxa"/>
                  <w:noWrap/>
                  <w:hideMark/>
                </w:tcPr>
                <w:p w14:paraId="462BAB88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03" w:type="dxa"/>
                  <w:noWrap/>
                  <w:hideMark/>
                </w:tcPr>
                <w:p w14:paraId="14606D81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5.98%</w:t>
                  </w:r>
                </w:p>
                <w:p w14:paraId="5255B352" w14:textId="1E565A2B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3" w:type="dxa"/>
                  <w:noWrap/>
                  <w:hideMark/>
                </w:tcPr>
                <w:p w14:paraId="3CCD393D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10.36%</w:t>
                  </w:r>
                </w:p>
                <w:p w14:paraId="2819BAF2" w14:textId="71CDF31E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14:paraId="7E258AF6" w14:textId="77777777" w:rsidR="00BD0AB1" w:rsidRPr="00F70A4C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0A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  <w:p w14:paraId="0150F04A" w14:textId="04F4BB64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  <w:noWrap/>
                  <w:hideMark/>
                </w:tcPr>
                <w:p w14:paraId="52F07EAF" w14:textId="34463229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70A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164448" w:rsidRPr="00265C1D" w14:paraId="3B4DA4D5" w14:textId="77777777" w:rsidTr="00D546AF">
              <w:trPr>
                <w:trHeight w:val="297"/>
              </w:trPr>
              <w:tc>
                <w:tcPr>
                  <w:tcW w:w="1097" w:type="dxa"/>
                  <w:noWrap/>
                  <w:hideMark/>
                </w:tcPr>
                <w:p w14:paraId="7262A001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X </w:t>
                  </w:r>
                </w:p>
              </w:tc>
              <w:tc>
                <w:tcPr>
                  <w:tcW w:w="965" w:type="dxa"/>
                </w:tcPr>
                <w:p w14:paraId="4CA13BC7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854" w:type="dxa"/>
                  <w:noWrap/>
                  <w:hideMark/>
                </w:tcPr>
                <w:p w14:paraId="607F0D0B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030" w:type="dxa"/>
                  <w:noWrap/>
                  <w:hideMark/>
                </w:tcPr>
                <w:p w14:paraId="05245157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03" w:type="dxa"/>
                  <w:noWrap/>
                  <w:hideMark/>
                </w:tcPr>
                <w:p w14:paraId="5D51311F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12.97%</w:t>
                  </w:r>
                </w:p>
                <w:p w14:paraId="0ED66D26" w14:textId="03FF1375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3" w:type="dxa"/>
                  <w:noWrap/>
                  <w:hideMark/>
                </w:tcPr>
                <w:p w14:paraId="5325FA15" w14:textId="77777777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18.92%</w:t>
                  </w:r>
                </w:p>
                <w:p w14:paraId="72F7E911" w14:textId="6B9A2AB2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14:paraId="6139E7BA" w14:textId="7B1AEB82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A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0-6)</w:t>
                  </w:r>
                </w:p>
              </w:tc>
              <w:tc>
                <w:tcPr>
                  <w:tcW w:w="1072" w:type="dxa"/>
                  <w:noWrap/>
                  <w:hideMark/>
                </w:tcPr>
                <w:p w14:paraId="057BA2B1" w14:textId="77777777" w:rsidR="00BD0AB1" w:rsidRPr="00F70A4C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5C1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70A4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  <w:p w14:paraId="731D04CA" w14:textId="52C9E6F1" w:rsidR="00BD0AB1" w:rsidRPr="00265C1D" w:rsidRDefault="00BD0AB1" w:rsidP="00CD2643">
                  <w:pPr>
                    <w:framePr w:hSpace="187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8574E7" w14:textId="77777777" w:rsidR="00C00F55" w:rsidRDefault="000F3A52" w:rsidP="00D250D3">
            <w:r w:rsidRPr="000F3A52">
              <w:t>DOI: 10.1097/AOG.0000000000002939</w:t>
            </w:r>
          </w:p>
          <w:p w14:paraId="3827C732" w14:textId="595D7CD2" w:rsidR="000F3A52" w:rsidRPr="008A7C90" w:rsidRDefault="0003629D" w:rsidP="00D250D3">
            <w:r w:rsidRPr="0003629D">
              <w:t>https://pubmed.ncbi.nlm.nih.gov/30303910/</w:t>
            </w:r>
            <w:bookmarkStart w:id="1" w:name="_GoBack"/>
            <w:bookmarkEnd w:id="1"/>
          </w:p>
        </w:tc>
      </w:tr>
      <w:bookmarkEnd w:id="0"/>
    </w:tbl>
    <w:p w14:paraId="3029BC31" w14:textId="77777777" w:rsidR="008F5E1F" w:rsidRDefault="008F5E1F" w:rsidP="00F70A4C">
      <w:pPr>
        <w:spacing w:after="0"/>
      </w:pPr>
    </w:p>
    <w:sectPr w:rsidR="008F5E1F" w:rsidSect="00A67E0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CF3A3" w14:textId="77777777" w:rsidR="0027103D" w:rsidRDefault="0027103D" w:rsidP="008F5E1F">
      <w:pPr>
        <w:spacing w:after="0" w:line="240" w:lineRule="auto"/>
      </w:pPr>
      <w:r>
        <w:separator/>
      </w:r>
    </w:p>
  </w:endnote>
  <w:endnote w:type="continuationSeparator" w:id="0">
    <w:p w14:paraId="73356BF3" w14:textId="77777777" w:rsidR="0027103D" w:rsidRDefault="0027103D" w:rsidP="008F5E1F">
      <w:pPr>
        <w:spacing w:after="0" w:line="240" w:lineRule="auto"/>
      </w:pPr>
      <w:r>
        <w:continuationSeparator/>
      </w:r>
    </w:p>
  </w:endnote>
  <w:endnote w:type="continuationNotice" w:id="1">
    <w:p w14:paraId="0AFB4E3A" w14:textId="77777777" w:rsidR="0027103D" w:rsidRDefault="002710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DAF8F" w14:textId="77777777" w:rsidR="0027103D" w:rsidRDefault="0027103D" w:rsidP="008F5E1F">
      <w:pPr>
        <w:spacing w:after="0" w:line="240" w:lineRule="auto"/>
      </w:pPr>
      <w:r>
        <w:separator/>
      </w:r>
    </w:p>
  </w:footnote>
  <w:footnote w:type="continuationSeparator" w:id="0">
    <w:p w14:paraId="10CC0AD0" w14:textId="77777777" w:rsidR="0027103D" w:rsidRDefault="0027103D" w:rsidP="008F5E1F">
      <w:pPr>
        <w:spacing w:after="0" w:line="240" w:lineRule="auto"/>
      </w:pPr>
      <w:r>
        <w:continuationSeparator/>
      </w:r>
    </w:p>
  </w:footnote>
  <w:footnote w:type="continuationNotice" w:id="1">
    <w:p w14:paraId="46D66C7E" w14:textId="77777777" w:rsidR="0027103D" w:rsidRDefault="002710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DB8D6" w14:textId="1864D7CC" w:rsidR="00CD2643" w:rsidRDefault="00CD2643">
    <w:pPr>
      <w:pStyle w:val="Header"/>
    </w:pPr>
    <w:r>
      <w:t>Physician Researcher Program (PRP)</w:t>
    </w:r>
  </w:p>
  <w:p w14:paraId="3FB5C82D" w14:textId="77777777" w:rsidR="00CD2643" w:rsidRDefault="00CD2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E1812"/>
    <w:multiLevelType w:val="multilevel"/>
    <w:tmpl w:val="2544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55"/>
    <w:rsid w:val="0001597B"/>
    <w:rsid w:val="00024AEE"/>
    <w:rsid w:val="0003629D"/>
    <w:rsid w:val="00087FB7"/>
    <w:rsid w:val="000A7BBA"/>
    <w:rsid w:val="000F3A52"/>
    <w:rsid w:val="00100594"/>
    <w:rsid w:val="00103A2B"/>
    <w:rsid w:val="00113A19"/>
    <w:rsid w:val="00115F7F"/>
    <w:rsid w:val="00124D2D"/>
    <w:rsid w:val="00126D1D"/>
    <w:rsid w:val="00164448"/>
    <w:rsid w:val="00167C75"/>
    <w:rsid w:val="00176718"/>
    <w:rsid w:val="00210292"/>
    <w:rsid w:val="00257AA4"/>
    <w:rsid w:val="0027103D"/>
    <w:rsid w:val="002804A0"/>
    <w:rsid w:val="002B3630"/>
    <w:rsid w:val="002B678A"/>
    <w:rsid w:val="002B6B17"/>
    <w:rsid w:val="002C2368"/>
    <w:rsid w:val="002F2003"/>
    <w:rsid w:val="00307E55"/>
    <w:rsid w:val="003261C2"/>
    <w:rsid w:val="00344697"/>
    <w:rsid w:val="00385275"/>
    <w:rsid w:val="00385D3C"/>
    <w:rsid w:val="003A414D"/>
    <w:rsid w:val="003B4EF7"/>
    <w:rsid w:val="003C1510"/>
    <w:rsid w:val="003D6A67"/>
    <w:rsid w:val="003F29AE"/>
    <w:rsid w:val="0041738A"/>
    <w:rsid w:val="00433C0A"/>
    <w:rsid w:val="004555D2"/>
    <w:rsid w:val="004556F1"/>
    <w:rsid w:val="00461217"/>
    <w:rsid w:val="004878E0"/>
    <w:rsid w:val="004B3D43"/>
    <w:rsid w:val="004D2812"/>
    <w:rsid w:val="004D4ADD"/>
    <w:rsid w:val="00502E7E"/>
    <w:rsid w:val="00535CF1"/>
    <w:rsid w:val="005361B6"/>
    <w:rsid w:val="0055144E"/>
    <w:rsid w:val="0055439B"/>
    <w:rsid w:val="005653A3"/>
    <w:rsid w:val="005A4084"/>
    <w:rsid w:val="005B57BC"/>
    <w:rsid w:val="005B5B84"/>
    <w:rsid w:val="0062370E"/>
    <w:rsid w:val="00683595"/>
    <w:rsid w:val="0068676A"/>
    <w:rsid w:val="006E1195"/>
    <w:rsid w:val="006E633E"/>
    <w:rsid w:val="00700292"/>
    <w:rsid w:val="00750592"/>
    <w:rsid w:val="00774625"/>
    <w:rsid w:val="00774EC0"/>
    <w:rsid w:val="00780650"/>
    <w:rsid w:val="00796450"/>
    <w:rsid w:val="007B30F5"/>
    <w:rsid w:val="007B48DB"/>
    <w:rsid w:val="007C1F2C"/>
    <w:rsid w:val="007C44D8"/>
    <w:rsid w:val="007D536C"/>
    <w:rsid w:val="007F1DC9"/>
    <w:rsid w:val="00822458"/>
    <w:rsid w:val="0082321D"/>
    <w:rsid w:val="00824143"/>
    <w:rsid w:val="00824F0A"/>
    <w:rsid w:val="008425C9"/>
    <w:rsid w:val="00872640"/>
    <w:rsid w:val="0089559F"/>
    <w:rsid w:val="00896042"/>
    <w:rsid w:val="008D05D1"/>
    <w:rsid w:val="008E5292"/>
    <w:rsid w:val="008E71E5"/>
    <w:rsid w:val="008F5E1F"/>
    <w:rsid w:val="00902B72"/>
    <w:rsid w:val="00922F8E"/>
    <w:rsid w:val="00924FE0"/>
    <w:rsid w:val="009408F9"/>
    <w:rsid w:val="009445BE"/>
    <w:rsid w:val="0099245B"/>
    <w:rsid w:val="009A44EC"/>
    <w:rsid w:val="00A00410"/>
    <w:rsid w:val="00A00814"/>
    <w:rsid w:val="00A06C02"/>
    <w:rsid w:val="00A142C1"/>
    <w:rsid w:val="00A36028"/>
    <w:rsid w:val="00A36B30"/>
    <w:rsid w:val="00A45ACF"/>
    <w:rsid w:val="00A67E0C"/>
    <w:rsid w:val="00AA09DF"/>
    <w:rsid w:val="00AD0A3F"/>
    <w:rsid w:val="00B27D31"/>
    <w:rsid w:val="00B55B44"/>
    <w:rsid w:val="00BA502A"/>
    <w:rsid w:val="00BC2756"/>
    <w:rsid w:val="00BC7786"/>
    <w:rsid w:val="00BD0AB1"/>
    <w:rsid w:val="00C00F55"/>
    <w:rsid w:val="00C1605E"/>
    <w:rsid w:val="00C16200"/>
    <w:rsid w:val="00C1690D"/>
    <w:rsid w:val="00C34223"/>
    <w:rsid w:val="00C60A21"/>
    <w:rsid w:val="00C75108"/>
    <w:rsid w:val="00C95270"/>
    <w:rsid w:val="00CA404A"/>
    <w:rsid w:val="00CC4F50"/>
    <w:rsid w:val="00CC5002"/>
    <w:rsid w:val="00CD2643"/>
    <w:rsid w:val="00CE35F3"/>
    <w:rsid w:val="00CF7FEA"/>
    <w:rsid w:val="00D11985"/>
    <w:rsid w:val="00D250D3"/>
    <w:rsid w:val="00D32C74"/>
    <w:rsid w:val="00D41625"/>
    <w:rsid w:val="00D42533"/>
    <w:rsid w:val="00D546AF"/>
    <w:rsid w:val="00E179B9"/>
    <w:rsid w:val="00E224DB"/>
    <w:rsid w:val="00E41492"/>
    <w:rsid w:val="00E43BA5"/>
    <w:rsid w:val="00E777D4"/>
    <w:rsid w:val="00E96760"/>
    <w:rsid w:val="00ED24FC"/>
    <w:rsid w:val="00EF5E0E"/>
    <w:rsid w:val="00F044BF"/>
    <w:rsid w:val="00F20647"/>
    <w:rsid w:val="00F41863"/>
    <w:rsid w:val="00F6261C"/>
    <w:rsid w:val="00F70A4C"/>
    <w:rsid w:val="00FC1114"/>
    <w:rsid w:val="01F004ED"/>
    <w:rsid w:val="110BEDC7"/>
    <w:rsid w:val="13F429F5"/>
    <w:rsid w:val="282E6E3D"/>
    <w:rsid w:val="3164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7824"/>
  <w15:chartTrackingRefBased/>
  <w15:docId w15:val="{7DE1B705-A7BC-41B2-AEBB-CB5AD89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55"/>
  </w:style>
  <w:style w:type="paragraph" w:styleId="Heading1">
    <w:name w:val="heading 1"/>
    <w:basedOn w:val="Normal"/>
    <w:next w:val="Normal"/>
    <w:link w:val="Heading1Char"/>
    <w:uiPriority w:val="9"/>
    <w:qFormat/>
    <w:rsid w:val="008F5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E1F"/>
  </w:style>
  <w:style w:type="paragraph" w:styleId="Footer">
    <w:name w:val="footer"/>
    <w:basedOn w:val="Normal"/>
    <w:link w:val="FooterChar"/>
    <w:uiPriority w:val="99"/>
    <w:unhideWhenUsed/>
    <w:rsid w:val="008F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E1F"/>
  </w:style>
  <w:style w:type="character" w:customStyle="1" w:styleId="Heading1Char">
    <w:name w:val="Heading 1 Char"/>
    <w:basedOn w:val="DefaultParagraphFont"/>
    <w:link w:val="Heading1"/>
    <w:uiPriority w:val="9"/>
    <w:rsid w:val="008F5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5E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3FB7AD-DA98-42F4-BB44-A849A2581967}"/>
</file>

<file path=customXml/itemProps2.xml><?xml version="1.0" encoding="utf-8"?>
<ds:datastoreItem xmlns:ds="http://schemas.openxmlformats.org/officeDocument/2006/customXml" ds:itemID="{A62A99CE-8AD4-44CB-94AB-E37CE69D1201}"/>
</file>

<file path=customXml/itemProps3.xml><?xml version="1.0" encoding="utf-8"?>
<ds:datastoreItem xmlns:ds="http://schemas.openxmlformats.org/officeDocument/2006/customXml" ds:itemID="{87B63E3A-A350-429D-B259-F99B43D212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Cimone E Parker</cp:lastModifiedBy>
  <cp:revision>5</cp:revision>
  <dcterms:created xsi:type="dcterms:W3CDTF">2021-01-13T00:19:00Z</dcterms:created>
  <dcterms:modified xsi:type="dcterms:W3CDTF">2021-01-13T04:42:00Z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