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812DC" w14:textId="3C5DAF5C" w:rsidR="1A557A28" w:rsidRDefault="00B7794A" w:rsidP="4E551E08">
      <w:pPr>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 xml:space="preserve">PAD patients have no increased mortality risk compared to patients with similar level of </w:t>
      </w:r>
      <w:r w:rsidR="00347561">
        <w:rPr>
          <w:rFonts w:ascii="Calibri" w:eastAsia="Calibri" w:hAnsi="Calibri" w:cs="Calibri"/>
          <w:color w:val="4472C4" w:themeColor="accent1"/>
          <w:sz w:val="28"/>
          <w:szCs w:val="28"/>
        </w:rPr>
        <w:t>health.</w:t>
      </w:r>
    </w:p>
    <w:p w14:paraId="7FCD574A" w14:textId="5D5E49C1" w:rsidR="008A7C90" w:rsidRDefault="00B7794A" w:rsidP="00D24534">
      <w:pPr>
        <w:spacing w:after="0"/>
      </w:pPr>
      <w:r>
        <w:t>Nayan Sivamurthy</w:t>
      </w:r>
      <w:r w:rsidR="00C73A94">
        <w:t xml:space="preserve">, </w:t>
      </w:r>
      <w:r>
        <w:t>MD;</w:t>
      </w:r>
      <w:r w:rsidR="00C73A94">
        <w:t xml:space="preserve"> </w:t>
      </w:r>
      <w:r>
        <w:t>Bradley Frueh, MPH; Julie Schmittdiel PhD, MA</w:t>
      </w:r>
    </w:p>
    <w:tbl>
      <w:tblPr>
        <w:tblStyle w:val="TableGrid"/>
        <w:tblpPr w:leftFromText="180" w:rightFromText="180" w:vertAnchor="page" w:horzAnchor="margin" w:tblpY="2581"/>
        <w:tblW w:w="10885" w:type="dxa"/>
        <w:tblLook w:val="04A0" w:firstRow="1" w:lastRow="0" w:firstColumn="1" w:lastColumn="0" w:noHBand="0" w:noVBand="1"/>
      </w:tblPr>
      <w:tblGrid>
        <w:gridCol w:w="1894"/>
        <w:gridCol w:w="8991"/>
      </w:tblGrid>
      <w:tr w:rsidR="0048655A" w:rsidRPr="008A7C90" w14:paraId="307289BF" w14:textId="77777777" w:rsidTr="00347561">
        <w:trPr>
          <w:trHeight w:val="688"/>
        </w:trPr>
        <w:tc>
          <w:tcPr>
            <w:tcW w:w="1894" w:type="dxa"/>
          </w:tcPr>
          <w:p w14:paraId="2C7E2D09" w14:textId="77777777" w:rsidR="0048655A" w:rsidRPr="008A7C90" w:rsidRDefault="0048655A" w:rsidP="0048655A">
            <w:pPr>
              <w:spacing w:line="259" w:lineRule="auto"/>
            </w:pPr>
            <w:bookmarkStart w:id="0" w:name="_Hlk54105970"/>
            <w:r w:rsidRPr="008A7C90">
              <w:t>Challenge</w:t>
            </w:r>
          </w:p>
        </w:tc>
        <w:tc>
          <w:tcPr>
            <w:tcW w:w="8991" w:type="dxa"/>
          </w:tcPr>
          <w:p w14:paraId="7F9273D4" w14:textId="79AE9442" w:rsidR="0048655A" w:rsidRPr="0031051B" w:rsidRDefault="00B7794A" w:rsidP="0048655A">
            <w:pPr>
              <w:spacing w:line="259" w:lineRule="auto"/>
              <w:rPr>
                <w:b/>
                <w:bCs/>
              </w:rPr>
            </w:pPr>
            <w:r>
              <w:rPr>
                <w:b/>
                <w:bCs/>
              </w:rPr>
              <w:t>C</w:t>
            </w:r>
            <w:r w:rsidRPr="00B7794A">
              <w:rPr>
                <w:b/>
                <w:bCs/>
              </w:rPr>
              <w:t>ompare outcomes in patients with peripheral artery disease (PAD) (without chronic limb threatening ischemia or acute ischemia) to those in matched controls from the general population within an integrated healthcare setting with population-based chronic disease management.</w:t>
            </w:r>
          </w:p>
        </w:tc>
      </w:tr>
      <w:tr w:rsidR="0048655A" w:rsidRPr="008A7C90" w14:paraId="67D435C8" w14:textId="77777777" w:rsidTr="00347561">
        <w:trPr>
          <w:trHeight w:val="920"/>
        </w:trPr>
        <w:tc>
          <w:tcPr>
            <w:tcW w:w="1894" w:type="dxa"/>
          </w:tcPr>
          <w:p w14:paraId="351B366F" w14:textId="77777777" w:rsidR="0048655A" w:rsidRPr="008A7C90" w:rsidRDefault="0048655A" w:rsidP="0048655A">
            <w:pPr>
              <w:spacing w:line="259" w:lineRule="auto"/>
            </w:pPr>
            <w:r w:rsidRPr="008A7C90">
              <w:t>Existing Evidence</w:t>
            </w:r>
          </w:p>
        </w:tc>
        <w:tc>
          <w:tcPr>
            <w:tcW w:w="8991" w:type="dxa"/>
          </w:tcPr>
          <w:p w14:paraId="70041630" w14:textId="5BFFFE71" w:rsidR="0048655A" w:rsidRPr="008A7C90" w:rsidRDefault="00B7794A" w:rsidP="0048655A">
            <w:pPr>
              <w:spacing w:line="259" w:lineRule="auto"/>
            </w:pPr>
            <w:r>
              <w:t>PAD patient</w:t>
            </w:r>
            <w:r w:rsidR="002D04C4">
              <w:t>s</w:t>
            </w:r>
            <w:r>
              <w:t xml:space="preserve"> have high risk of adverse outcomes</w:t>
            </w:r>
            <w:r w:rsidR="002D04C4">
              <w:t xml:space="preserve"> including mortality, hospitalization, amputation, and cardiovascular events but data has never been compared to a population with a similar level of health</w:t>
            </w:r>
            <w:r w:rsidR="00347561">
              <w:t xml:space="preserve"> or within a program with robust population health measures.</w:t>
            </w:r>
          </w:p>
        </w:tc>
      </w:tr>
      <w:tr w:rsidR="0048655A" w:rsidRPr="008A7C90" w14:paraId="136E6453" w14:textId="77777777" w:rsidTr="00347561">
        <w:trPr>
          <w:trHeight w:val="221"/>
        </w:trPr>
        <w:tc>
          <w:tcPr>
            <w:tcW w:w="1894" w:type="dxa"/>
          </w:tcPr>
          <w:p w14:paraId="53202DB8" w14:textId="77777777" w:rsidR="0048655A" w:rsidRPr="008A7C90" w:rsidRDefault="0048655A" w:rsidP="0048655A">
            <w:pPr>
              <w:spacing w:line="259" w:lineRule="auto"/>
            </w:pPr>
            <w:r w:rsidRPr="008A7C90">
              <w:t>Target Population</w:t>
            </w:r>
          </w:p>
        </w:tc>
        <w:tc>
          <w:tcPr>
            <w:tcW w:w="8991" w:type="dxa"/>
          </w:tcPr>
          <w:p w14:paraId="1486D38C" w14:textId="4E40E933" w:rsidR="0048655A" w:rsidRPr="008A7C90" w:rsidRDefault="002D04C4" w:rsidP="0048655A">
            <w:pPr>
              <w:spacing w:line="259" w:lineRule="auto"/>
            </w:pPr>
            <w:r>
              <w:t>Adult patients at KP NCAL with and without PAD matched to similar levels of health</w:t>
            </w:r>
          </w:p>
        </w:tc>
      </w:tr>
      <w:tr w:rsidR="0048655A" w:rsidRPr="008A7C90" w14:paraId="5B80BED5" w14:textId="77777777" w:rsidTr="00347561">
        <w:trPr>
          <w:trHeight w:val="232"/>
        </w:trPr>
        <w:tc>
          <w:tcPr>
            <w:tcW w:w="1894" w:type="dxa"/>
          </w:tcPr>
          <w:p w14:paraId="0D0B7C0D" w14:textId="77777777" w:rsidR="0048655A" w:rsidRPr="008A7C90" w:rsidRDefault="0048655A" w:rsidP="0048655A">
            <w:pPr>
              <w:spacing w:line="259" w:lineRule="auto"/>
            </w:pPr>
            <w:r w:rsidRPr="008A7C90">
              <w:t>Intervention or Exposure</w:t>
            </w:r>
          </w:p>
        </w:tc>
        <w:tc>
          <w:tcPr>
            <w:tcW w:w="8991" w:type="dxa"/>
          </w:tcPr>
          <w:p w14:paraId="0CA2C589" w14:textId="2A2C51BF" w:rsidR="0048655A" w:rsidRPr="008A7C90" w:rsidRDefault="002D04C4" w:rsidP="0048655A">
            <w:pPr>
              <w:spacing w:line="259" w:lineRule="auto"/>
            </w:pPr>
            <w:r>
              <w:t>Diagnosis of PAD</w:t>
            </w:r>
            <w:r w:rsidR="0048655A" w:rsidRPr="008A7C90">
              <w:t xml:space="preserve"> </w:t>
            </w:r>
          </w:p>
        </w:tc>
      </w:tr>
      <w:tr w:rsidR="0048655A" w:rsidRPr="008A7C90" w14:paraId="13978FD3" w14:textId="77777777" w:rsidTr="00347561">
        <w:trPr>
          <w:trHeight w:val="1926"/>
        </w:trPr>
        <w:tc>
          <w:tcPr>
            <w:tcW w:w="1894" w:type="dxa"/>
          </w:tcPr>
          <w:p w14:paraId="7525D5B4" w14:textId="77777777" w:rsidR="0048655A" w:rsidRPr="00EF635D" w:rsidRDefault="0048655A" w:rsidP="0048655A">
            <w:pPr>
              <w:spacing w:line="259" w:lineRule="auto"/>
              <w:rPr>
                <w:b/>
                <w:bCs/>
              </w:rPr>
            </w:pPr>
            <w:r w:rsidRPr="00EF635D">
              <w:rPr>
                <w:b/>
                <w:bCs/>
              </w:rPr>
              <w:t>Outcomes/Key Findings</w:t>
            </w:r>
          </w:p>
        </w:tc>
        <w:tc>
          <w:tcPr>
            <w:tcW w:w="8991" w:type="dxa"/>
          </w:tcPr>
          <w:p w14:paraId="3CD35CB0" w14:textId="79CB2797" w:rsidR="0048655A" w:rsidRPr="008A7C90" w:rsidRDefault="002D04C4" w:rsidP="0031051B">
            <w:pPr>
              <w:spacing w:line="259" w:lineRule="auto"/>
            </w:pPr>
            <w:r>
              <w:rPr>
                <w:b/>
                <w:bCs/>
              </w:rPr>
              <w:t>PAD patients have an increased risk of major adverse vascular events (MAVE) but no increased risk of all-cause mortality at 5 years when compared to control population</w:t>
            </w:r>
            <w:r w:rsidR="00C73A94">
              <w:rPr>
                <w:b/>
                <w:bCs/>
              </w:rPr>
              <w:t xml:space="preserve">.  </w:t>
            </w:r>
            <w:r>
              <w:rPr>
                <w:bCs/>
              </w:rPr>
              <w:t>Freedom from MAVE</w:t>
            </w:r>
            <w:r w:rsidR="00C73A94">
              <w:rPr>
                <w:bCs/>
              </w:rPr>
              <w:t xml:space="preserve"> </w:t>
            </w:r>
            <w:r>
              <w:t>was 60% for PAD and 78% f</w:t>
            </w:r>
            <w:r w:rsidR="002F7619">
              <w:t xml:space="preserve">or </w:t>
            </w:r>
            <w:r>
              <w:t xml:space="preserve">controls (p&lt;0.01).  There was no increased risk of all-cause mortality at 1,3,5 years.  </w:t>
            </w:r>
            <w:r w:rsidR="002F7619">
              <w:t>PAD patients were at increased risk for amputation at 1,3,5 years and increased risk for heart attacks and strokes at 3 years.</w:t>
            </w:r>
          </w:p>
        </w:tc>
      </w:tr>
      <w:tr w:rsidR="0048655A" w:rsidRPr="008A7C90" w14:paraId="62542513" w14:textId="77777777" w:rsidTr="00347561">
        <w:trPr>
          <w:trHeight w:val="688"/>
        </w:trPr>
        <w:tc>
          <w:tcPr>
            <w:tcW w:w="1894" w:type="dxa"/>
          </w:tcPr>
          <w:p w14:paraId="38755ADC" w14:textId="77777777" w:rsidR="0048655A" w:rsidRPr="00EF635D" w:rsidRDefault="0048655A" w:rsidP="0048655A">
            <w:pPr>
              <w:spacing w:line="259" w:lineRule="auto"/>
              <w:rPr>
                <w:b/>
                <w:bCs/>
              </w:rPr>
            </w:pPr>
            <w:r w:rsidRPr="00EF635D">
              <w:rPr>
                <w:b/>
                <w:bCs/>
              </w:rPr>
              <w:t>Resulting Action/Change</w:t>
            </w:r>
          </w:p>
        </w:tc>
        <w:tc>
          <w:tcPr>
            <w:tcW w:w="8991" w:type="dxa"/>
          </w:tcPr>
          <w:p w14:paraId="092B6F29" w14:textId="72360FCD" w:rsidR="0048655A" w:rsidRPr="00EF635D" w:rsidRDefault="00347561" w:rsidP="0048655A">
            <w:pPr>
              <w:spacing w:line="259" w:lineRule="auto"/>
              <w:rPr>
                <w:b/>
                <w:bCs/>
              </w:rPr>
            </w:pPr>
            <w:r>
              <w:rPr>
                <w:b/>
                <w:bCs/>
              </w:rPr>
              <w:t>Greater</w:t>
            </w:r>
            <w:r w:rsidR="002F7619">
              <w:rPr>
                <w:b/>
                <w:bCs/>
              </w:rPr>
              <w:t xml:space="preserve"> vigilance for PAD patients to ensure appropriate goal directed risk factor modification</w:t>
            </w:r>
            <w:r w:rsidR="00B04D53">
              <w:rPr>
                <w:b/>
                <w:bCs/>
              </w:rPr>
              <w:t xml:space="preserve"> to further improve outcomes in this </w:t>
            </w:r>
            <w:r>
              <w:rPr>
                <w:b/>
                <w:bCs/>
              </w:rPr>
              <w:t>high-risk</w:t>
            </w:r>
            <w:r w:rsidR="00B04D53">
              <w:rPr>
                <w:b/>
                <w:bCs/>
              </w:rPr>
              <w:t xml:space="preserve"> population</w:t>
            </w:r>
          </w:p>
        </w:tc>
      </w:tr>
      <w:tr w:rsidR="00CB0455" w:rsidRPr="008A7C90" w14:paraId="57800790" w14:textId="77777777" w:rsidTr="00347561">
        <w:trPr>
          <w:trHeight w:val="688"/>
        </w:trPr>
        <w:tc>
          <w:tcPr>
            <w:tcW w:w="1894" w:type="dxa"/>
          </w:tcPr>
          <w:p w14:paraId="6C4E04AC" w14:textId="161310DB" w:rsidR="00CB0455" w:rsidRPr="00EB0401" w:rsidRDefault="00CB0455" w:rsidP="0048655A">
            <w:r w:rsidRPr="00EB0401">
              <w:t>Additional Recommendations</w:t>
            </w:r>
          </w:p>
        </w:tc>
        <w:tc>
          <w:tcPr>
            <w:tcW w:w="8991" w:type="dxa"/>
          </w:tcPr>
          <w:p w14:paraId="08163871" w14:textId="66B0686D" w:rsidR="00CB0455" w:rsidRPr="00EB0401" w:rsidRDefault="002F7619" w:rsidP="0048655A">
            <w:r>
              <w:t>Modify LDL and A1C goals, implement supervised exercise therapy programs, lifestyle medicine enrollment, smoking cessation programs, antithrombotic therapy, screen patients at risk for PAD</w:t>
            </w:r>
          </w:p>
        </w:tc>
      </w:tr>
      <w:tr w:rsidR="0048655A" w:rsidRPr="008A7C90" w14:paraId="21F6FB6D" w14:textId="77777777" w:rsidTr="00347561">
        <w:trPr>
          <w:trHeight w:val="465"/>
        </w:trPr>
        <w:tc>
          <w:tcPr>
            <w:tcW w:w="1894" w:type="dxa"/>
          </w:tcPr>
          <w:p w14:paraId="511F380C" w14:textId="77777777" w:rsidR="0048655A" w:rsidRPr="008A7C90" w:rsidRDefault="0048655A" w:rsidP="0048655A">
            <w:pPr>
              <w:spacing w:line="259" w:lineRule="auto"/>
            </w:pPr>
            <w:r w:rsidRPr="008A7C90">
              <w:t>Implementation Tools</w:t>
            </w:r>
            <w:r w:rsidRPr="008A7C90">
              <w:tab/>
            </w:r>
          </w:p>
        </w:tc>
        <w:tc>
          <w:tcPr>
            <w:tcW w:w="8991" w:type="dxa"/>
          </w:tcPr>
          <w:p w14:paraId="35B5FEA6" w14:textId="2E8139E9" w:rsidR="0048655A" w:rsidRPr="008A7C90" w:rsidRDefault="00B04D53" w:rsidP="0048655A">
            <w:pPr>
              <w:spacing w:line="259" w:lineRule="auto"/>
            </w:pPr>
            <w:r>
              <w:t>Communication with existing population health programs focused on risk factor modification as well as alerting AFM, vascular surgery, cardiology, podiatry, diabetes care, lifestyle medicine</w:t>
            </w:r>
          </w:p>
        </w:tc>
      </w:tr>
      <w:tr w:rsidR="0048655A" w:rsidRPr="008A7C90" w14:paraId="02D4678D" w14:textId="77777777" w:rsidTr="00347561">
        <w:trPr>
          <w:trHeight w:val="465"/>
        </w:trPr>
        <w:tc>
          <w:tcPr>
            <w:tcW w:w="1894" w:type="dxa"/>
          </w:tcPr>
          <w:p w14:paraId="1B184543" w14:textId="77777777" w:rsidR="0048655A" w:rsidRPr="008A7C90" w:rsidRDefault="0048655A" w:rsidP="0048655A">
            <w:pPr>
              <w:spacing w:line="259" w:lineRule="auto"/>
            </w:pPr>
            <w:r w:rsidRPr="008A7C90">
              <w:t>Implementation Measurement</w:t>
            </w:r>
          </w:p>
        </w:tc>
        <w:tc>
          <w:tcPr>
            <w:tcW w:w="8991" w:type="dxa"/>
          </w:tcPr>
          <w:p w14:paraId="0D25EBD1" w14:textId="7C614EB7" w:rsidR="0048655A" w:rsidRPr="008A7C90" w:rsidRDefault="00B04D53" w:rsidP="0048655A">
            <w:pPr>
              <w:spacing w:line="259" w:lineRule="auto"/>
            </w:pPr>
            <w:r>
              <w:t>Compliance and adherence to population health measures as well as measuring response to interventions</w:t>
            </w:r>
          </w:p>
        </w:tc>
      </w:tr>
      <w:tr w:rsidR="0048655A" w:rsidRPr="008A7C90" w14:paraId="66558595" w14:textId="77777777" w:rsidTr="00347561">
        <w:trPr>
          <w:trHeight w:val="454"/>
        </w:trPr>
        <w:tc>
          <w:tcPr>
            <w:tcW w:w="1894" w:type="dxa"/>
          </w:tcPr>
          <w:p w14:paraId="29954FA9" w14:textId="77777777" w:rsidR="0048655A" w:rsidRPr="008A7C90" w:rsidRDefault="0048655A" w:rsidP="0048655A">
            <w:pPr>
              <w:spacing w:line="259" w:lineRule="auto"/>
            </w:pPr>
            <w:r w:rsidRPr="008A7C90">
              <w:lastRenderedPageBreak/>
              <w:t>Reference</w:t>
            </w:r>
          </w:p>
        </w:tc>
        <w:tc>
          <w:tcPr>
            <w:tcW w:w="8991" w:type="dxa"/>
          </w:tcPr>
          <w:p w14:paraId="722DE921" w14:textId="1A5C0DC2" w:rsidR="0048655A" w:rsidRPr="008A7C90" w:rsidRDefault="00B04D53" w:rsidP="0048655A">
            <w:pPr>
              <w:spacing w:line="259" w:lineRule="auto"/>
            </w:pPr>
            <w:r>
              <w:rPr>
                <w:noProof/>
              </w:rPr>
              <w:drawing>
                <wp:inline distT="0" distB="0" distL="0" distR="0" wp14:anchorId="22699E4A" wp14:editId="64BC4F1F">
                  <wp:extent cx="4779034" cy="3806271"/>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3348" cy="3889352"/>
                          </a:xfrm>
                          <a:prstGeom prst="rect">
                            <a:avLst/>
                          </a:prstGeom>
                        </pic:spPr>
                      </pic:pic>
                    </a:graphicData>
                  </a:graphic>
                </wp:inline>
              </w:drawing>
            </w:r>
            <w:r w:rsidR="00347561">
              <w:rPr>
                <w:noProof/>
              </w:rPr>
              <w:t xml:space="preserve"> </w:t>
            </w:r>
            <w:r w:rsidR="00347561">
              <w:rPr>
                <w:noProof/>
              </w:rPr>
              <w:drawing>
                <wp:inline distT="0" distB="0" distL="0" distR="0" wp14:anchorId="56C213D0" wp14:editId="133927BF">
                  <wp:extent cx="4882551" cy="4408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1557" cy="4461958"/>
                          </a:xfrm>
                          <a:prstGeom prst="rect">
                            <a:avLst/>
                          </a:prstGeom>
                        </pic:spPr>
                      </pic:pic>
                    </a:graphicData>
                  </a:graphic>
                </wp:inline>
              </w:drawing>
            </w:r>
          </w:p>
        </w:tc>
      </w:tr>
      <w:bookmarkEnd w:id="0"/>
    </w:tbl>
    <w:p w14:paraId="62800767" w14:textId="77777777" w:rsidR="00FE6194" w:rsidRDefault="00FE6194" w:rsidP="00C73A94">
      <w:pPr>
        <w:spacing w:after="0"/>
      </w:pPr>
    </w:p>
    <w:sectPr w:rsidR="00FE6194" w:rsidSect="00D2453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DE3DA" w14:textId="77777777" w:rsidR="00BB559D" w:rsidRDefault="00BB559D" w:rsidP="00BB559D">
      <w:pPr>
        <w:spacing w:after="0" w:line="240" w:lineRule="auto"/>
      </w:pPr>
      <w:r>
        <w:separator/>
      </w:r>
    </w:p>
  </w:endnote>
  <w:endnote w:type="continuationSeparator" w:id="0">
    <w:p w14:paraId="75E54C24" w14:textId="77777777" w:rsidR="00BB559D" w:rsidRDefault="00BB559D" w:rsidP="00BB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C8309" w14:textId="77777777" w:rsidR="00BB559D" w:rsidRDefault="00BB559D" w:rsidP="00BB559D">
      <w:pPr>
        <w:spacing w:after="0" w:line="240" w:lineRule="auto"/>
      </w:pPr>
      <w:r>
        <w:separator/>
      </w:r>
    </w:p>
  </w:footnote>
  <w:footnote w:type="continuationSeparator" w:id="0">
    <w:p w14:paraId="3B487B79" w14:textId="77777777" w:rsidR="00BB559D" w:rsidRDefault="00BB559D" w:rsidP="00BB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B553" w14:textId="5055B3BA" w:rsidR="00BB559D" w:rsidRPr="002B4A88" w:rsidRDefault="00AC6E65" w:rsidP="002B4A88">
    <w:pPr>
      <w:spacing w:after="0" w:line="240" w:lineRule="auto"/>
      <w:rPr>
        <w:rFonts w:ascii="Arial" w:hAnsi="Arial" w:cs="Arial"/>
        <w:bCs/>
      </w:rPr>
    </w:pPr>
    <w:r>
      <w:rPr>
        <w:rFonts w:ascii="Arial" w:hAnsi="Arial" w:cs="Arial"/>
        <w:bCs/>
      </w:rPr>
      <w:t>Rapid Analytics Unit</w:t>
    </w:r>
    <w:r w:rsidR="00BB559D" w:rsidRPr="00142C37">
      <w:rPr>
        <w:rFonts w:ascii="Arial" w:hAnsi="Arial" w:cs="Arial"/>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D52BB"/>
    <w:rsid w:val="001E348B"/>
    <w:rsid w:val="002A1A00"/>
    <w:rsid w:val="002B4A88"/>
    <w:rsid w:val="002D04C4"/>
    <w:rsid w:val="002F7619"/>
    <w:rsid w:val="0031051B"/>
    <w:rsid w:val="00347561"/>
    <w:rsid w:val="003D755D"/>
    <w:rsid w:val="003E27D1"/>
    <w:rsid w:val="003E34C5"/>
    <w:rsid w:val="0048655A"/>
    <w:rsid w:val="004A115E"/>
    <w:rsid w:val="00514319"/>
    <w:rsid w:val="00565E25"/>
    <w:rsid w:val="00646C36"/>
    <w:rsid w:val="006D32D2"/>
    <w:rsid w:val="0072563B"/>
    <w:rsid w:val="00777238"/>
    <w:rsid w:val="008131C8"/>
    <w:rsid w:val="008A7C90"/>
    <w:rsid w:val="009001F2"/>
    <w:rsid w:val="00933309"/>
    <w:rsid w:val="00943088"/>
    <w:rsid w:val="00A16BB1"/>
    <w:rsid w:val="00AC6E65"/>
    <w:rsid w:val="00B04D53"/>
    <w:rsid w:val="00B7794A"/>
    <w:rsid w:val="00BB559D"/>
    <w:rsid w:val="00C3487D"/>
    <w:rsid w:val="00C4025A"/>
    <w:rsid w:val="00C73A94"/>
    <w:rsid w:val="00CB0455"/>
    <w:rsid w:val="00CF4301"/>
    <w:rsid w:val="00D003F1"/>
    <w:rsid w:val="00D24534"/>
    <w:rsid w:val="00D303F0"/>
    <w:rsid w:val="00E461FE"/>
    <w:rsid w:val="00EB0401"/>
    <w:rsid w:val="00EF635D"/>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Header">
    <w:name w:val="header"/>
    <w:basedOn w:val="Normal"/>
    <w:link w:val="HeaderChar"/>
    <w:uiPriority w:val="99"/>
    <w:unhideWhenUsed/>
    <w:rsid w:val="00BB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9D"/>
  </w:style>
  <w:style w:type="paragraph" w:styleId="Footer">
    <w:name w:val="footer"/>
    <w:basedOn w:val="Normal"/>
    <w:link w:val="FooterChar"/>
    <w:uiPriority w:val="99"/>
    <w:unhideWhenUsed/>
    <w:rsid w:val="00BB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2.xml><?xml version="1.0" encoding="utf-8"?>
<ds:datastoreItem xmlns:ds="http://schemas.openxmlformats.org/officeDocument/2006/customXml" ds:itemID="{AC888A28-5B10-48BE-B8D6-480C75C53C84}">
  <ds:schemaRefs>
    <ds:schemaRef ds:uri="http://schemas.microsoft.com/office/2006/documentManagement/types"/>
    <ds:schemaRef ds:uri="http://www.w3.org/XML/1998/namespace"/>
    <ds:schemaRef ds:uri="http://purl.org/dc/elements/1.1/"/>
    <ds:schemaRef ds:uri="04c69e7e-30dd-4fc4-b8bc-afeef48eb057"/>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707DA71-7F6E-45D1-A65F-C34E0CC8A4E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Cimone E Durojaiye</cp:lastModifiedBy>
  <cp:revision>2</cp:revision>
  <dcterms:created xsi:type="dcterms:W3CDTF">2024-07-25T17:26:00Z</dcterms:created>
  <dcterms:modified xsi:type="dcterms:W3CDTF">2024-07-25T17:26:00Z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