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9DC41" w14:textId="30342E8A" w:rsidR="00CB181E" w:rsidRDefault="00E94984" w:rsidP="00D55445">
      <w:pPr>
        <w:rPr>
          <w:rFonts w:ascii="Avenir Next LT Pro" w:hAnsi="Avenir Next LT Pro"/>
        </w:rPr>
      </w:pPr>
      <w:r w:rsidRPr="00D55445">
        <w:rPr>
          <w:rFonts w:ascii="Avenir Next LT Pro" w:eastAsia="Calibri" w:hAnsi="Avenir Next LT Pro" w:cs="Calibri"/>
          <w:color w:val="4472C4" w:themeColor="accent1"/>
          <w:sz w:val="24"/>
          <w:szCs w:val="24"/>
        </w:rPr>
        <w:t xml:space="preserve">Three </w:t>
      </w:r>
      <w:r w:rsidR="00562B1A" w:rsidRPr="00D55445">
        <w:rPr>
          <w:rFonts w:ascii="Avenir Next LT Pro" w:eastAsia="Calibri" w:hAnsi="Avenir Next LT Pro" w:cs="Calibri"/>
          <w:color w:val="4472C4" w:themeColor="accent1"/>
          <w:sz w:val="24"/>
          <w:szCs w:val="24"/>
        </w:rPr>
        <w:t>v</w:t>
      </w:r>
      <w:r w:rsidR="007D6BAF" w:rsidRPr="00D55445">
        <w:rPr>
          <w:rFonts w:ascii="Avenir Next LT Pro" w:eastAsia="Calibri" w:hAnsi="Avenir Next LT Pro" w:cs="Calibri"/>
          <w:color w:val="4472C4" w:themeColor="accent1"/>
          <w:sz w:val="24"/>
          <w:szCs w:val="24"/>
        </w:rPr>
        <w:t xml:space="preserve">ariables significantly associated with oral isotretinoin prescription </w:t>
      </w:r>
      <w:r w:rsidR="00371163" w:rsidRPr="00D55445">
        <w:rPr>
          <w:rFonts w:ascii="Avenir Next LT Pro" w:eastAsia="Calibri" w:hAnsi="Avenir Next LT Pro" w:cs="Calibri"/>
          <w:color w:val="4472C4" w:themeColor="accent1"/>
          <w:sz w:val="24"/>
          <w:szCs w:val="24"/>
        </w:rPr>
        <w:t>variability</w:t>
      </w:r>
      <w:r w:rsidR="00517B50" w:rsidRPr="00D55445">
        <w:rPr>
          <w:rFonts w:ascii="Avenir Next LT Pro" w:eastAsia="Calibri" w:hAnsi="Avenir Next LT Pro" w:cs="Calibri"/>
          <w:color w:val="4472C4" w:themeColor="accent1"/>
          <w:sz w:val="24"/>
          <w:szCs w:val="24"/>
        </w:rPr>
        <w:t xml:space="preserve"> for acne patients</w:t>
      </w:r>
      <w:r w:rsidR="00371163" w:rsidRPr="00D55445">
        <w:rPr>
          <w:rFonts w:ascii="Avenir Next LT Pro" w:eastAsia="Calibri" w:hAnsi="Avenir Next LT Pro" w:cs="Calibri"/>
          <w:color w:val="4472C4" w:themeColor="accent1"/>
          <w:sz w:val="24"/>
          <w:szCs w:val="24"/>
        </w:rPr>
        <w:t xml:space="preserve"> within KPNC</w:t>
      </w:r>
      <w:r w:rsidR="00D55445">
        <w:rPr>
          <w:rFonts w:ascii="Avenir Next LT Pro" w:eastAsia="Calibri" w:hAnsi="Avenir Next LT Pro" w:cs="Calibri"/>
          <w:color w:val="4472C4" w:themeColor="accent1"/>
          <w:sz w:val="24"/>
          <w:szCs w:val="24"/>
        </w:rPr>
        <w:t xml:space="preserve">                                                                                                                                                </w:t>
      </w:r>
      <w:r w:rsidR="008940A2" w:rsidRPr="00D55445">
        <w:rPr>
          <w:rFonts w:ascii="Avenir Next LT Pro" w:hAnsi="Avenir Next LT Pro"/>
        </w:rPr>
        <w:t>Veena Vanchinathan</w:t>
      </w:r>
      <w:r w:rsidR="00CB181E" w:rsidRPr="00D55445">
        <w:rPr>
          <w:rFonts w:ascii="Avenir Next LT Pro" w:hAnsi="Avenir Next LT Pro"/>
        </w:rPr>
        <w:t>,</w:t>
      </w:r>
      <w:r w:rsidR="008940A2" w:rsidRPr="00D55445">
        <w:rPr>
          <w:rFonts w:ascii="Avenir Next LT Pro" w:hAnsi="Avenir Next LT Pro"/>
        </w:rPr>
        <w:t xml:space="preserve"> MD;</w:t>
      </w:r>
      <w:r w:rsidR="00CB181E" w:rsidRPr="00D55445">
        <w:rPr>
          <w:rFonts w:ascii="Avenir Next LT Pro" w:hAnsi="Avenir Next LT Pro"/>
        </w:rPr>
        <w:t xml:space="preserve"> </w:t>
      </w:r>
      <w:r w:rsidR="008940A2" w:rsidRPr="00D55445">
        <w:rPr>
          <w:rFonts w:ascii="Avenir Next LT Pro" w:hAnsi="Avenir Next LT Pro"/>
        </w:rPr>
        <w:t>Michael Hartmann</w:t>
      </w:r>
      <w:r w:rsidR="00CB181E" w:rsidRPr="00D55445">
        <w:rPr>
          <w:rFonts w:ascii="Avenir Next LT Pro" w:hAnsi="Avenir Next LT Pro"/>
        </w:rPr>
        <w:t xml:space="preserve">, </w:t>
      </w:r>
      <w:r w:rsidR="008940A2" w:rsidRPr="00D55445">
        <w:rPr>
          <w:rFonts w:ascii="Avenir Next LT Pro" w:hAnsi="Avenir Next LT Pro"/>
        </w:rPr>
        <w:t xml:space="preserve">MS; Noah M. </w:t>
      </w:r>
      <w:r w:rsidR="00BE26AC" w:rsidRPr="00D55445">
        <w:rPr>
          <w:rFonts w:ascii="Avenir Next LT Pro" w:hAnsi="Avenir Next LT Pro"/>
        </w:rPr>
        <w:t>Contreras, BS; Andrew L. Avins, MD, MPH; Amara A. Lieberman, MD</w:t>
      </w:r>
    </w:p>
    <w:p w14:paraId="1FA63EA9" w14:textId="77777777" w:rsidR="00D55445" w:rsidRPr="00D55445" w:rsidRDefault="00D55445" w:rsidP="00D55445">
      <w:pPr>
        <w:rPr>
          <w:rFonts w:ascii="Avenir Next LT Pro" w:eastAsia="Calibri" w:hAnsi="Avenir Next LT Pro" w:cs="Calibri"/>
          <w:color w:val="4472C4" w:themeColor="accent1"/>
          <w:sz w:val="28"/>
          <w:szCs w:val="28"/>
        </w:rPr>
      </w:pPr>
    </w:p>
    <w:tbl>
      <w:tblPr>
        <w:tblStyle w:val="TableGrid"/>
        <w:tblpPr w:leftFromText="180" w:rightFromText="180" w:vertAnchor="page" w:horzAnchor="margin" w:tblpY="2581"/>
        <w:tblW w:w="10705" w:type="dxa"/>
        <w:tblLook w:val="04A0" w:firstRow="1" w:lastRow="0" w:firstColumn="1" w:lastColumn="0" w:noHBand="0" w:noVBand="1"/>
      </w:tblPr>
      <w:tblGrid>
        <w:gridCol w:w="2103"/>
        <w:gridCol w:w="8602"/>
      </w:tblGrid>
      <w:tr w:rsidR="00CB181E" w:rsidRPr="009474B2" w14:paraId="6399213F" w14:textId="77777777" w:rsidTr="009474B2">
        <w:trPr>
          <w:trHeight w:val="816"/>
        </w:trPr>
        <w:tc>
          <w:tcPr>
            <w:tcW w:w="1975" w:type="dxa"/>
            <w:shd w:val="clear" w:color="auto" w:fill="DEEAF6" w:themeFill="accent5" w:themeFillTint="33"/>
          </w:tcPr>
          <w:p w14:paraId="6A7360FC" w14:textId="77777777" w:rsidR="00CB181E" w:rsidRPr="009474B2" w:rsidRDefault="00CB181E" w:rsidP="000750EC">
            <w:pPr>
              <w:spacing w:line="259" w:lineRule="auto"/>
              <w:rPr>
                <w:rFonts w:ascii="Avenir Next LT Pro" w:hAnsi="Avenir Next LT Pro"/>
              </w:rPr>
            </w:pPr>
            <w:bookmarkStart w:id="0" w:name="_Hlk54105970"/>
            <w:r w:rsidRPr="009474B2">
              <w:rPr>
                <w:rFonts w:ascii="Avenir Next LT Pro" w:hAnsi="Avenir Next LT Pro"/>
              </w:rPr>
              <w:t>Challenge</w:t>
            </w:r>
          </w:p>
        </w:tc>
        <w:tc>
          <w:tcPr>
            <w:tcW w:w="8730" w:type="dxa"/>
          </w:tcPr>
          <w:p w14:paraId="675C864D" w14:textId="53879FDD" w:rsidR="00CB181E" w:rsidRPr="009474B2" w:rsidRDefault="00C33775" w:rsidP="000750EC">
            <w:pPr>
              <w:spacing w:line="259" w:lineRule="auto"/>
              <w:rPr>
                <w:rFonts w:ascii="Avenir Next LT Pro" w:hAnsi="Avenir Next LT Pro"/>
                <w:b/>
                <w:bCs/>
              </w:rPr>
            </w:pPr>
            <w:r w:rsidRPr="009474B2">
              <w:rPr>
                <w:rFonts w:ascii="Avenir Next LT Pro" w:hAnsi="Avenir Next LT Pro"/>
                <w:b/>
                <w:bCs/>
              </w:rPr>
              <w:t xml:space="preserve">Isotretinoin is </w:t>
            </w:r>
            <w:r w:rsidR="00DB3EC2" w:rsidRPr="009474B2">
              <w:rPr>
                <w:rFonts w:ascii="Avenir Next LT Pro" w:hAnsi="Avenir Next LT Pro"/>
                <w:b/>
                <w:bCs/>
              </w:rPr>
              <w:t xml:space="preserve">an oral, highly </w:t>
            </w:r>
            <w:proofErr w:type="gramStart"/>
            <w:r w:rsidR="00DB3EC2" w:rsidRPr="009474B2">
              <w:rPr>
                <w:rFonts w:ascii="Avenir Next LT Pro" w:hAnsi="Avenir Next LT Pro"/>
                <w:b/>
                <w:bCs/>
              </w:rPr>
              <w:t>effective</w:t>
            </w:r>
            <w:proofErr w:type="gramEnd"/>
            <w:r w:rsidR="002C0DAE" w:rsidRPr="009474B2">
              <w:rPr>
                <w:rFonts w:ascii="Avenir Next LT Pro" w:hAnsi="Avenir Next LT Pro"/>
                <w:b/>
                <w:bCs/>
              </w:rPr>
              <w:t xml:space="preserve"> and</w:t>
            </w:r>
            <w:r w:rsidR="00EE7EBE" w:rsidRPr="009474B2">
              <w:rPr>
                <w:rFonts w:ascii="Avenir Next LT Pro" w:hAnsi="Avenir Next LT Pro"/>
                <w:b/>
                <w:bCs/>
              </w:rPr>
              <w:t xml:space="preserve"> resource-intensive prescription for severe acne</w:t>
            </w:r>
            <w:r w:rsidRPr="009474B2">
              <w:rPr>
                <w:rFonts w:ascii="Avenir Next LT Pro" w:hAnsi="Avenir Next LT Pro"/>
                <w:b/>
                <w:bCs/>
              </w:rPr>
              <w:t xml:space="preserve">. </w:t>
            </w:r>
            <w:r w:rsidR="002C0DAE" w:rsidRPr="009474B2">
              <w:rPr>
                <w:rFonts w:ascii="Avenir Next LT Pro" w:hAnsi="Avenir Next LT Pro"/>
                <w:b/>
                <w:bCs/>
              </w:rPr>
              <w:t>Our u</w:t>
            </w:r>
            <w:r w:rsidRPr="009474B2">
              <w:rPr>
                <w:rFonts w:ascii="Avenir Next LT Pro" w:hAnsi="Avenir Next LT Pro"/>
                <w:b/>
                <w:bCs/>
              </w:rPr>
              <w:t xml:space="preserve">nderstanding </w:t>
            </w:r>
            <w:r w:rsidR="002C0DAE" w:rsidRPr="009474B2">
              <w:rPr>
                <w:rFonts w:ascii="Avenir Next LT Pro" w:hAnsi="Avenir Next LT Pro"/>
                <w:b/>
                <w:bCs/>
              </w:rPr>
              <w:t xml:space="preserve">of </w:t>
            </w:r>
            <w:r w:rsidRPr="009474B2">
              <w:rPr>
                <w:rFonts w:ascii="Avenir Next LT Pro" w:hAnsi="Avenir Next LT Pro"/>
                <w:b/>
                <w:bCs/>
              </w:rPr>
              <w:t>the variation in isotretinoin prescribing patterns is limited.</w:t>
            </w:r>
            <w:r w:rsidR="00EE7EBE" w:rsidRPr="009474B2">
              <w:rPr>
                <w:rFonts w:ascii="Avenir Next LT Pro" w:hAnsi="Avenir Next LT Pro"/>
                <w:b/>
                <w:bCs/>
              </w:rPr>
              <w:t xml:space="preserve"> </w:t>
            </w:r>
            <w:r w:rsidR="00CB181E" w:rsidRPr="009474B2">
              <w:rPr>
                <w:rFonts w:ascii="Avenir Next LT Pro" w:hAnsi="Avenir Next LT Pro"/>
                <w:b/>
                <w:bCs/>
              </w:rPr>
              <w:t xml:space="preserve">  </w:t>
            </w:r>
          </w:p>
        </w:tc>
      </w:tr>
      <w:tr w:rsidR="00CB181E" w:rsidRPr="009474B2" w14:paraId="73ED9E6E" w14:textId="77777777" w:rsidTr="009474B2">
        <w:trPr>
          <w:trHeight w:val="1091"/>
        </w:trPr>
        <w:tc>
          <w:tcPr>
            <w:tcW w:w="1975" w:type="dxa"/>
            <w:shd w:val="clear" w:color="auto" w:fill="DEEAF6" w:themeFill="accent5" w:themeFillTint="33"/>
          </w:tcPr>
          <w:p w14:paraId="049D4F99" w14:textId="77777777" w:rsidR="00CB181E" w:rsidRPr="009474B2" w:rsidRDefault="00CB181E" w:rsidP="000750EC">
            <w:pPr>
              <w:spacing w:line="259" w:lineRule="auto"/>
              <w:rPr>
                <w:rFonts w:ascii="Avenir Next LT Pro" w:hAnsi="Avenir Next LT Pro"/>
              </w:rPr>
            </w:pPr>
            <w:r w:rsidRPr="009474B2">
              <w:rPr>
                <w:rFonts w:ascii="Avenir Next LT Pro" w:hAnsi="Avenir Next LT Pro"/>
              </w:rPr>
              <w:t>Existing Evidence</w:t>
            </w:r>
          </w:p>
        </w:tc>
        <w:tc>
          <w:tcPr>
            <w:tcW w:w="8730" w:type="dxa"/>
          </w:tcPr>
          <w:p w14:paraId="22034EAA" w14:textId="18786AA4" w:rsidR="00CB181E" w:rsidRPr="009474B2" w:rsidRDefault="00AE64B8" w:rsidP="000750EC">
            <w:pPr>
              <w:spacing w:line="259" w:lineRule="auto"/>
              <w:rPr>
                <w:rFonts w:ascii="Avenir Next LT Pro" w:hAnsi="Avenir Next LT Pro"/>
              </w:rPr>
            </w:pPr>
            <w:r w:rsidRPr="009474B2">
              <w:rPr>
                <w:rFonts w:ascii="Avenir Next LT Pro" w:hAnsi="Avenir Next LT Pro"/>
              </w:rPr>
              <w:t xml:space="preserve">Isotretinoin is widely recognized as a highly effective, FDA-approved treatment for severe acne. </w:t>
            </w:r>
            <w:r w:rsidR="002F692F" w:rsidRPr="009474B2">
              <w:rPr>
                <w:rFonts w:ascii="Avenir Next LT Pro" w:hAnsi="Avenir Next LT Pro"/>
              </w:rPr>
              <w:t>Due to the known highly teratogenic nature of this medication, there are stringent FDA-mandated requirement</w:t>
            </w:r>
            <w:r w:rsidR="00EA0259" w:rsidRPr="009474B2">
              <w:rPr>
                <w:rFonts w:ascii="Avenir Next LT Pro" w:hAnsi="Avenir Next LT Pro"/>
              </w:rPr>
              <w:t xml:space="preserve">s for isotretinoin patients. </w:t>
            </w:r>
            <w:r w:rsidRPr="009474B2">
              <w:rPr>
                <w:rFonts w:ascii="Avenir Next LT Pro" w:hAnsi="Avenir Next LT Pro"/>
              </w:rPr>
              <w:t>There ca</w:t>
            </w:r>
            <w:r w:rsidR="00A527BE" w:rsidRPr="009474B2">
              <w:rPr>
                <w:rFonts w:ascii="Avenir Next LT Pro" w:hAnsi="Avenir Next LT Pro"/>
              </w:rPr>
              <w:t>n be</w:t>
            </w:r>
            <w:r w:rsidRPr="009474B2">
              <w:rPr>
                <w:rFonts w:ascii="Avenir Next LT Pro" w:hAnsi="Avenir Next LT Pro"/>
              </w:rPr>
              <w:t xml:space="preserve"> wide variability as to when a patient may be started on the medication, if at all, </w:t>
            </w:r>
            <w:r w:rsidR="002F692F" w:rsidRPr="009474B2">
              <w:rPr>
                <w:rFonts w:ascii="Avenir Next LT Pro" w:hAnsi="Avenir Next LT Pro"/>
              </w:rPr>
              <w:t>for their acne treatment.</w:t>
            </w:r>
            <w:r w:rsidR="00CB181E" w:rsidRPr="009474B2">
              <w:rPr>
                <w:rFonts w:ascii="Avenir Next LT Pro" w:hAnsi="Avenir Next LT Pro"/>
              </w:rPr>
              <w:t xml:space="preserve"> </w:t>
            </w:r>
          </w:p>
        </w:tc>
      </w:tr>
      <w:tr w:rsidR="00CB181E" w:rsidRPr="009474B2" w14:paraId="50044552" w14:textId="77777777" w:rsidTr="009474B2">
        <w:trPr>
          <w:trHeight w:val="262"/>
        </w:trPr>
        <w:tc>
          <w:tcPr>
            <w:tcW w:w="1975" w:type="dxa"/>
            <w:shd w:val="clear" w:color="auto" w:fill="DEEAF6" w:themeFill="accent5" w:themeFillTint="33"/>
          </w:tcPr>
          <w:p w14:paraId="7DE3D785" w14:textId="77777777" w:rsidR="00CB181E" w:rsidRPr="009474B2" w:rsidRDefault="00CB181E" w:rsidP="000750EC">
            <w:pPr>
              <w:spacing w:line="259" w:lineRule="auto"/>
              <w:rPr>
                <w:rFonts w:ascii="Avenir Next LT Pro" w:hAnsi="Avenir Next LT Pro"/>
              </w:rPr>
            </w:pPr>
            <w:r w:rsidRPr="009474B2">
              <w:rPr>
                <w:rFonts w:ascii="Avenir Next LT Pro" w:hAnsi="Avenir Next LT Pro"/>
              </w:rPr>
              <w:t>Target Population</w:t>
            </w:r>
          </w:p>
        </w:tc>
        <w:tc>
          <w:tcPr>
            <w:tcW w:w="8730" w:type="dxa"/>
          </w:tcPr>
          <w:p w14:paraId="28D0095F" w14:textId="0FA2456B" w:rsidR="00CB181E" w:rsidRPr="009474B2" w:rsidRDefault="00473D9E" w:rsidP="000750EC">
            <w:pPr>
              <w:spacing w:line="259" w:lineRule="auto"/>
              <w:rPr>
                <w:rFonts w:ascii="Avenir Next LT Pro" w:hAnsi="Avenir Next LT Pro"/>
              </w:rPr>
            </w:pPr>
            <w:r w:rsidRPr="009474B2">
              <w:rPr>
                <w:rFonts w:ascii="Avenir Next LT Pro" w:hAnsi="Avenir Next LT Pro"/>
              </w:rPr>
              <w:t>Members aged 13-40 with at least two visits with an acne diagnosis between 2016-2020, and 12 months of continuous enrollment prior to and after the index date.</w:t>
            </w:r>
          </w:p>
        </w:tc>
      </w:tr>
      <w:tr w:rsidR="00CB181E" w:rsidRPr="009474B2" w14:paraId="072B38C0" w14:textId="77777777" w:rsidTr="009474B2">
        <w:trPr>
          <w:trHeight w:val="276"/>
        </w:trPr>
        <w:tc>
          <w:tcPr>
            <w:tcW w:w="1975" w:type="dxa"/>
            <w:shd w:val="clear" w:color="auto" w:fill="DEEAF6" w:themeFill="accent5" w:themeFillTint="33"/>
          </w:tcPr>
          <w:p w14:paraId="4EE44363" w14:textId="77777777" w:rsidR="00CB181E" w:rsidRPr="009474B2" w:rsidRDefault="00CB181E" w:rsidP="000750EC">
            <w:pPr>
              <w:spacing w:line="259" w:lineRule="auto"/>
              <w:rPr>
                <w:rFonts w:ascii="Avenir Next LT Pro" w:hAnsi="Avenir Next LT Pro"/>
              </w:rPr>
            </w:pPr>
            <w:r w:rsidRPr="009474B2">
              <w:rPr>
                <w:rFonts w:ascii="Avenir Next LT Pro" w:hAnsi="Avenir Next LT Pro"/>
              </w:rPr>
              <w:t>Intervention or Exposure</w:t>
            </w:r>
          </w:p>
        </w:tc>
        <w:tc>
          <w:tcPr>
            <w:tcW w:w="8730" w:type="dxa"/>
          </w:tcPr>
          <w:p w14:paraId="25FA1CAF" w14:textId="1420C666" w:rsidR="00CB181E" w:rsidRPr="009474B2" w:rsidRDefault="00473D9E" w:rsidP="000750EC">
            <w:pPr>
              <w:spacing w:line="259" w:lineRule="auto"/>
              <w:rPr>
                <w:rFonts w:ascii="Avenir Next LT Pro" w:hAnsi="Avenir Next LT Pro"/>
              </w:rPr>
            </w:pPr>
            <w:r w:rsidRPr="009474B2">
              <w:rPr>
                <w:rFonts w:ascii="Avenir Next LT Pro" w:hAnsi="Avenir Next LT Pro"/>
              </w:rPr>
              <w:t>Multiple exposures analyzed across all Service Areas</w:t>
            </w:r>
            <w:r w:rsidR="007E3689" w:rsidRPr="009474B2">
              <w:rPr>
                <w:rFonts w:ascii="Avenir Next LT Pro" w:hAnsi="Avenir Next LT Pro"/>
              </w:rPr>
              <w:t xml:space="preserve"> (ecological study).</w:t>
            </w:r>
          </w:p>
        </w:tc>
      </w:tr>
      <w:tr w:rsidR="00CB181E" w:rsidRPr="009474B2" w14:paraId="5A66669F" w14:textId="77777777" w:rsidTr="009474B2">
        <w:trPr>
          <w:trHeight w:val="2282"/>
        </w:trPr>
        <w:tc>
          <w:tcPr>
            <w:tcW w:w="1975" w:type="dxa"/>
            <w:shd w:val="clear" w:color="auto" w:fill="DEEAF6" w:themeFill="accent5" w:themeFillTint="33"/>
          </w:tcPr>
          <w:p w14:paraId="202CC2B1" w14:textId="77777777" w:rsidR="00CB181E" w:rsidRPr="009474B2" w:rsidRDefault="00CB181E" w:rsidP="000750EC">
            <w:pPr>
              <w:spacing w:line="259" w:lineRule="auto"/>
              <w:rPr>
                <w:rFonts w:ascii="Avenir Next LT Pro" w:hAnsi="Avenir Next LT Pro"/>
                <w:b/>
                <w:bCs/>
              </w:rPr>
            </w:pPr>
            <w:r w:rsidRPr="009474B2">
              <w:rPr>
                <w:rFonts w:ascii="Avenir Next LT Pro" w:hAnsi="Avenir Next LT Pro"/>
                <w:b/>
                <w:bCs/>
              </w:rPr>
              <w:t>Outcomes/Key Findings</w:t>
            </w:r>
          </w:p>
        </w:tc>
        <w:tc>
          <w:tcPr>
            <w:tcW w:w="8730" w:type="dxa"/>
          </w:tcPr>
          <w:p w14:paraId="7035C8D4" w14:textId="6BDAF7BE" w:rsidR="00CB181E" w:rsidRPr="009474B2" w:rsidRDefault="007C2FB4" w:rsidP="000750EC">
            <w:pPr>
              <w:spacing w:line="259" w:lineRule="auto"/>
              <w:rPr>
                <w:rFonts w:ascii="Avenir Next LT Pro" w:hAnsi="Avenir Next LT Pro"/>
              </w:rPr>
            </w:pPr>
            <w:r w:rsidRPr="009474B2">
              <w:rPr>
                <w:rFonts w:ascii="Avenir Next LT Pro" w:hAnsi="Avenir Next LT Pro"/>
                <w:b/>
                <w:bCs/>
              </w:rPr>
              <w:t xml:space="preserve">Our data revealed a </w:t>
            </w:r>
            <w:r w:rsidRPr="009474B2">
              <w:rPr>
                <w:rFonts w:ascii="Avenir Next LT Pro" w:hAnsi="Avenir Next LT Pro"/>
                <w:b/>
                <w:bCs/>
                <w:i/>
                <w:iCs/>
              </w:rPr>
              <w:t>more</w:t>
            </w:r>
            <w:r w:rsidRPr="009474B2">
              <w:rPr>
                <w:rFonts w:ascii="Avenir Next LT Pro" w:hAnsi="Avenir Next LT Pro"/>
                <w:b/>
                <w:bCs/>
              </w:rPr>
              <w:t xml:space="preserve"> than 2-fold differenc</w:t>
            </w:r>
            <w:r w:rsidR="00E77A24" w:rsidRPr="009474B2">
              <w:rPr>
                <w:rFonts w:ascii="Avenir Next LT Pro" w:hAnsi="Avenir Next LT Pro"/>
                <w:b/>
                <w:bCs/>
              </w:rPr>
              <w:t xml:space="preserve">e in isotretinoin prescription rates between the lowest prescribing </w:t>
            </w:r>
            <w:r w:rsidR="00384401" w:rsidRPr="009474B2">
              <w:rPr>
                <w:rFonts w:ascii="Avenir Next LT Pro" w:hAnsi="Avenir Next LT Pro"/>
                <w:b/>
                <w:bCs/>
              </w:rPr>
              <w:t>Service Area (7.6%) and the highest prescribing Service Area (17.3%).</w:t>
            </w:r>
            <w:r w:rsidR="00CB181E" w:rsidRPr="009474B2">
              <w:rPr>
                <w:rFonts w:ascii="Avenir Next LT Pro" w:hAnsi="Avenir Next LT Pro"/>
                <w:b/>
                <w:bCs/>
              </w:rPr>
              <w:t xml:space="preserve">  </w:t>
            </w:r>
            <w:r w:rsidR="00D42E43" w:rsidRPr="009474B2">
              <w:rPr>
                <w:rFonts w:ascii="Avenir Next LT Pro" w:hAnsi="Avenir Next LT Pro"/>
                <w:bCs/>
                <w:u w:val="single"/>
              </w:rPr>
              <w:t>Three variables were significantly and independently associated with higher isotretinoin prescription rates.</w:t>
            </w:r>
            <w:r w:rsidR="00D42E43" w:rsidRPr="009474B2">
              <w:rPr>
                <w:rFonts w:ascii="Avenir Next LT Pro" w:hAnsi="Avenir Next LT Pro"/>
                <w:bCs/>
              </w:rPr>
              <w:t xml:space="preserve"> The</w:t>
            </w:r>
            <w:r w:rsidR="005C7E01" w:rsidRPr="009474B2">
              <w:rPr>
                <w:rFonts w:ascii="Avenir Next LT Pro" w:hAnsi="Avenir Next LT Pro"/>
                <w:bCs/>
              </w:rPr>
              <w:t>y</w:t>
            </w:r>
            <w:r w:rsidR="00D42E43" w:rsidRPr="009474B2">
              <w:rPr>
                <w:rFonts w:ascii="Avenir Next LT Pro" w:hAnsi="Avenir Next LT Pro"/>
                <w:bCs/>
              </w:rPr>
              <w:t xml:space="preserve"> were (1) </w:t>
            </w:r>
            <w:r w:rsidR="00B66222" w:rsidRPr="009474B2">
              <w:rPr>
                <w:rFonts w:ascii="Avenir Next LT Pro" w:hAnsi="Avenir Next LT Pro"/>
                <w:bCs/>
              </w:rPr>
              <w:t>m</w:t>
            </w:r>
            <w:r w:rsidR="00D42E43" w:rsidRPr="009474B2">
              <w:rPr>
                <w:rFonts w:ascii="Avenir Next LT Pro" w:hAnsi="Avenir Next LT Pro"/>
                <w:bCs/>
              </w:rPr>
              <w:t>ean number of years between the index date and first isotretinoin prescription (</w:t>
            </w:r>
            <w:r w:rsidR="000F4A4B" w:rsidRPr="009474B2">
              <w:rPr>
                <w:rFonts w:ascii="Avenir Next LT Pro" w:hAnsi="Avenir Next LT Pro"/>
                <w:bCs/>
              </w:rPr>
              <w:t>inverse relationship</w:t>
            </w:r>
            <w:r w:rsidR="00D42E43" w:rsidRPr="009474B2">
              <w:rPr>
                <w:rFonts w:ascii="Avenir Next LT Pro" w:hAnsi="Avenir Next LT Pro"/>
                <w:bCs/>
              </w:rPr>
              <w:t>) (2) percentage of patients who were previously prescribed oral antibiotics for acne treatment</w:t>
            </w:r>
            <w:r w:rsidR="000F4A4B" w:rsidRPr="009474B2">
              <w:rPr>
                <w:rFonts w:ascii="Avenir Next LT Pro" w:hAnsi="Avenir Next LT Pro"/>
                <w:bCs/>
              </w:rPr>
              <w:t xml:space="preserve"> (direct relationship)</w:t>
            </w:r>
            <w:r w:rsidR="00D42E43" w:rsidRPr="009474B2">
              <w:rPr>
                <w:rFonts w:ascii="Avenir Next LT Pro" w:hAnsi="Avenir Next LT Pro"/>
                <w:bCs/>
              </w:rPr>
              <w:t xml:space="preserve"> and (3) percentage of</w:t>
            </w:r>
            <w:r w:rsidR="00B66222" w:rsidRPr="009474B2">
              <w:rPr>
                <w:rFonts w:ascii="Avenir Next LT Pro" w:hAnsi="Avenir Next LT Pro"/>
                <w:bCs/>
              </w:rPr>
              <w:t xml:space="preserve"> initial isotretinoin prescriptions written by an advanced practice provider (APP) (</w:t>
            </w:r>
            <w:r w:rsidR="000F4A4B" w:rsidRPr="009474B2">
              <w:rPr>
                <w:rFonts w:ascii="Avenir Next LT Pro" w:hAnsi="Avenir Next LT Pro"/>
                <w:bCs/>
              </w:rPr>
              <w:t>direct relationship).</w:t>
            </w:r>
          </w:p>
        </w:tc>
      </w:tr>
      <w:tr w:rsidR="00CB181E" w:rsidRPr="009474B2" w14:paraId="10B3F5BF" w14:textId="77777777" w:rsidTr="009474B2">
        <w:trPr>
          <w:trHeight w:val="816"/>
        </w:trPr>
        <w:tc>
          <w:tcPr>
            <w:tcW w:w="1975" w:type="dxa"/>
            <w:shd w:val="clear" w:color="auto" w:fill="DEEAF6" w:themeFill="accent5" w:themeFillTint="33"/>
          </w:tcPr>
          <w:p w14:paraId="257BDA79" w14:textId="77777777" w:rsidR="00CB181E" w:rsidRPr="009474B2" w:rsidRDefault="00CB181E" w:rsidP="000750EC">
            <w:pPr>
              <w:spacing w:line="259" w:lineRule="auto"/>
              <w:rPr>
                <w:rFonts w:ascii="Avenir Next LT Pro" w:hAnsi="Avenir Next LT Pro"/>
                <w:b/>
                <w:bCs/>
              </w:rPr>
            </w:pPr>
            <w:r w:rsidRPr="009474B2">
              <w:rPr>
                <w:rFonts w:ascii="Avenir Next LT Pro" w:hAnsi="Avenir Next LT Pro"/>
                <w:b/>
                <w:bCs/>
              </w:rPr>
              <w:t>Resulting Action/Change</w:t>
            </w:r>
          </w:p>
        </w:tc>
        <w:tc>
          <w:tcPr>
            <w:tcW w:w="8730" w:type="dxa"/>
          </w:tcPr>
          <w:p w14:paraId="1B791F56" w14:textId="6064CF6A" w:rsidR="00CB181E" w:rsidRPr="009474B2" w:rsidRDefault="00CC244F" w:rsidP="000750EC">
            <w:pPr>
              <w:spacing w:line="259" w:lineRule="auto"/>
              <w:rPr>
                <w:rFonts w:ascii="Avenir Next LT Pro" w:hAnsi="Avenir Next LT Pro"/>
                <w:b/>
                <w:bCs/>
              </w:rPr>
            </w:pPr>
            <w:r w:rsidRPr="009474B2">
              <w:rPr>
                <w:rFonts w:ascii="Avenir Next LT Pro" w:hAnsi="Avenir Next LT Pro"/>
                <w:b/>
                <w:bCs/>
              </w:rPr>
              <w:t xml:space="preserve">This </w:t>
            </w:r>
            <w:r w:rsidR="00210CA8" w:rsidRPr="009474B2">
              <w:rPr>
                <w:rFonts w:ascii="Avenir Next LT Pro" w:hAnsi="Avenir Next LT Pro"/>
                <w:b/>
                <w:bCs/>
              </w:rPr>
              <w:t xml:space="preserve">ecological </w:t>
            </w:r>
            <w:r w:rsidRPr="009474B2">
              <w:rPr>
                <w:rFonts w:ascii="Avenir Next LT Pro" w:hAnsi="Avenir Next LT Pro"/>
                <w:b/>
                <w:bCs/>
              </w:rPr>
              <w:t xml:space="preserve">study </w:t>
            </w:r>
            <w:r w:rsidR="007E4958" w:rsidRPr="009474B2">
              <w:rPr>
                <w:rFonts w:ascii="Avenir Next LT Pro" w:hAnsi="Avenir Next LT Pro"/>
                <w:b/>
                <w:bCs/>
              </w:rPr>
              <w:t xml:space="preserve">highlights isotretinoin prescription variability at the Service Area level. </w:t>
            </w:r>
            <w:r w:rsidR="00210CA8" w:rsidRPr="009474B2">
              <w:rPr>
                <w:rFonts w:ascii="Avenir Next LT Pro" w:hAnsi="Avenir Next LT Pro"/>
                <w:b/>
                <w:bCs/>
              </w:rPr>
              <w:t xml:space="preserve">We recommend additional analyses, ideally at the patient level, to better understand </w:t>
            </w:r>
            <w:r w:rsidR="00031486" w:rsidRPr="009474B2">
              <w:rPr>
                <w:rFonts w:ascii="Avenir Next LT Pro" w:hAnsi="Avenir Next LT Pro"/>
                <w:b/>
                <w:bCs/>
              </w:rPr>
              <w:t>this variability and</w:t>
            </w:r>
            <w:r w:rsidR="00674EE5" w:rsidRPr="009474B2">
              <w:rPr>
                <w:rFonts w:ascii="Avenir Next LT Pro" w:hAnsi="Avenir Next LT Pro"/>
                <w:b/>
                <w:bCs/>
              </w:rPr>
              <w:t xml:space="preserve"> </w:t>
            </w:r>
            <w:r w:rsidR="004540FE" w:rsidRPr="009474B2">
              <w:rPr>
                <w:rFonts w:ascii="Avenir Next LT Pro" w:hAnsi="Avenir Next LT Pro"/>
                <w:b/>
                <w:bCs/>
              </w:rPr>
              <w:t>further review the</w:t>
            </w:r>
            <w:r w:rsidR="00031486" w:rsidRPr="009474B2">
              <w:rPr>
                <w:rFonts w:ascii="Avenir Next LT Pro" w:hAnsi="Avenir Next LT Pro"/>
                <w:b/>
                <w:bCs/>
              </w:rPr>
              <w:t xml:space="preserve"> three </w:t>
            </w:r>
            <w:r w:rsidR="00674EE5" w:rsidRPr="009474B2">
              <w:rPr>
                <w:rFonts w:ascii="Avenir Next LT Pro" w:hAnsi="Avenir Next LT Pro"/>
                <w:b/>
                <w:bCs/>
              </w:rPr>
              <w:t xml:space="preserve">significant covariates </w:t>
            </w:r>
            <w:r w:rsidR="004540FE" w:rsidRPr="009474B2">
              <w:rPr>
                <w:rFonts w:ascii="Avenir Next LT Pro" w:hAnsi="Avenir Next LT Pro"/>
                <w:b/>
                <w:bCs/>
              </w:rPr>
              <w:t>associated with isotretinoin prescription rates.</w:t>
            </w:r>
          </w:p>
        </w:tc>
      </w:tr>
      <w:tr w:rsidR="00CB181E" w:rsidRPr="009474B2" w14:paraId="0FED6808" w14:textId="77777777" w:rsidTr="009474B2">
        <w:trPr>
          <w:trHeight w:val="816"/>
        </w:trPr>
        <w:tc>
          <w:tcPr>
            <w:tcW w:w="1975" w:type="dxa"/>
            <w:shd w:val="clear" w:color="auto" w:fill="DEEAF6" w:themeFill="accent5" w:themeFillTint="33"/>
          </w:tcPr>
          <w:p w14:paraId="62E74925" w14:textId="77777777" w:rsidR="00CB181E" w:rsidRPr="009474B2" w:rsidRDefault="00CB181E" w:rsidP="000750EC">
            <w:pPr>
              <w:rPr>
                <w:rFonts w:ascii="Avenir Next LT Pro" w:hAnsi="Avenir Next LT Pro"/>
              </w:rPr>
            </w:pPr>
            <w:r w:rsidRPr="009474B2">
              <w:rPr>
                <w:rFonts w:ascii="Avenir Next LT Pro" w:hAnsi="Avenir Next LT Pro"/>
              </w:rPr>
              <w:t>Additional Recommendations</w:t>
            </w:r>
          </w:p>
        </w:tc>
        <w:tc>
          <w:tcPr>
            <w:tcW w:w="8730" w:type="dxa"/>
          </w:tcPr>
          <w:p w14:paraId="5DEE0973" w14:textId="2D9020AB" w:rsidR="00CB181E" w:rsidRPr="009474B2" w:rsidRDefault="003157B9" w:rsidP="000750EC">
            <w:pPr>
              <w:rPr>
                <w:rFonts w:ascii="Avenir Next LT Pro" w:hAnsi="Avenir Next LT Pro"/>
              </w:rPr>
            </w:pPr>
            <w:r w:rsidRPr="009474B2">
              <w:rPr>
                <w:rFonts w:ascii="Avenir Next LT Pro" w:hAnsi="Avenir Next LT Pro"/>
              </w:rPr>
              <w:t>Advanced practice provi</w:t>
            </w:r>
            <w:r w:rsidR="00012ACB" w:rsidRPr="009474B2">
              <w:rPr>
                <w:rFonts w:ascii="Avenir Next LT Pro" w:hAnsi="Avenir Next LT Pro"/>
              </w:rPr>
              <w:t xml:space="preserve">der utilization in a care teams approach for acne patients, virtual and in-office, may be considered to help </w:t>
            </w:r>
            <w:r w:rsidR="00AA5B21" w:rsidRPr="009474B2">
              <w:rPr>
                <w:rFonts w:ascii="Avenir Next LT Pro" w:hAnsi="Avenir Next LT Pro"/>
              </w:rPr>
              <w:t xml:space="preserve">decrease </w:t>
            </w:r>
            <w:r w:rsidR="00F77AD5" w:rsidRPr="009474B2">
              <w:rPr>
                <w:rFonts w:ascii="Avenir Next LT Pro" w:hAnsi="Avenir Next LT Pro"/>
              </w:rPr>
              <w:t xml:space="preserve">barriers </w:t>
            </w:r>
            <w:r w:rsidR="00763F0A" w:rsidRPr="009474B2">
              <w:rPr>
                <w:rFonts w:ascii="Avenir Next LT Pro" w:hAnsi="Avenir Next LT Pro"/>
              </w:rPr>
              <w:t xml:space="preserve">in prescribing isotretinoin. </w:t>
            </w:r>
            <w:r w:rsidR="007C670D" w:rsidRPr="009474B2">
              <w:rPr>
                <w:rFonts w:ascii="Avenir Next LT Pro" w:hAnsi="Avenir Next LT Pro"/>
              </w:rPr>
              <w:t xml:space="preserve">We may also consider if healthcare IT infrastructure could support creating an “antibiotic snapshot” for acne patients, to better identify patients with high cumulative antibiotic use who could benefit from treatment change. </w:t>
            </w:r>
            <w:r w:rsidR="00E94984" w:rsidRPr="009474B2">
              <w:rPr>
                <w:rFonts w:ascii="Avenir Next LT Pro" w:hAnsi="Avenir Next LT Pro"/>
              </w:rPr>
              <w:t>At a service line and individual provider level, it may be helpful to have a low threshold to discuss oral isotretinoin with potentially qualifying acne patients.</w:t>
            </w:r>
          </w:p>
        </w:tc>
      </w:tr>
      <w:tr w:rsidR="00CB181E" w:rsidRPr="009474B2" w14:paraId="7B3184FA" w14:textId="77777777" w:rsidTr="009474B2">
        <w:trPr>
          <w:trHeight w:val="552"/>
        </w:trPr>
        <w:tc>
          <w:tcPr>
            <w:tcW w:w="1975" w:type="dxa"/>
            <w:shd w:val="clear" w:color="auto" w:fill="DEEAF6" w:themeFill="accent5" w:themeFillTint="33"/>
          </w:tcPr>
          <w:p w14:paraId="21BCB9EC" w14:textId="77777777" w:rsidR="00CB181E" w:rsidRPr="009474B2" w:rsidRDefault="00CB181E" w:rsidP="000750EC">
            <w:pPr>
              <w:spacing w:line="259" w:lineRule="auto"/>
              <w:rPr>
                <w:rFonts w:ascii="Avenir Next LT Pro" w:hAnsi="Avenir Next LT Pro"/>
              </w:rPr>
            </w:pPr>
            <w:r w:rsidRPr="009474B2">
              <w:rPr>
                <w:rFonts w:ascii="Avenir Next LT Pro" w:hAnsi="Avenir Next LT Pro"/>
              </w:rPr>
              <w:t>Implementation Tools</w:t>
            </w:r>
            <w:r w:rsidRPr="009474B2">
              <w:rPr>
                <w:rFonts w:ascii="Avenir Next LT Pro" w:hAnsi="Avenir Next LT Pro"/>
              </w:rPr>
              <w:tab/>
            </w:r>
          </w:p>
        </w:tc>
        <w:tc>
          <w:tcPr>
            <w:tcW w:w="8730" w:type="dxa"/>
          </w:tcPr>
          <w:p w14:paraId="6035635B" w14:textId="75B8DD33" w:rsidR="00CB181E" w:rsidRPr="009474B2" w:rsidRDefault="00735B7D" w:rsidP="000750EC">
            <w:pPr>
              <w:spacing w:line="259" w:lineRule="auto"/>
              <w:rPr>
                <w:rFonts w:ascii="Avenir Next LT Pro" w:hAnsi="Avenir Next LT Pro"/>
              </w:rPr>
            </w:pPr>
            <w:r w:rsidRPr="009474B2">
              <w:rPr>
                <w:rFonts w:ascii="Avenir Next LT Pro" w:hAnsi="Avenir Next LT Pro"/>
              </w:rPr>
              <w:t xml:space="preserve">Ongoing manuscription development to JAMA Dermatology (impact factor 10.9); </w:t>
            </w:r>
            <w:r w:rsidR="00CC244F" w:rsidRPr="009474B2">
              <w:rPr>
                <w:rFonts w:ascii="Avenir Next LT Pro" w:hAnsi="Avenir Next LT Pro"/>
              </w:rPr>
              <w:t xml:space="preserve">present findings to relevant organization leadership; </w:t>
            </w:r>
            <w:r w:rsidRPr="009474B2">
              <w:rPr>
                <w:rFonts w:ascii="Avenir Next LT Pro" w:hAnsi="Avenir Next LT Pro"/>
              </w:rPr>
              <w:t xml:space="preserve">develop </w:t>
            </w:r>
            <w:r w:rsidR="007512C6" w:rsidRPr="009474B2">
              <w:rPr>
                <w:rFonts w:ascii="Avenir Next LT Pro" w:hAnsi="Avenir Next LT Pro"/>
              </w:rPr>
              <w:t>EMR dotphrase</w:t>
            </w:r>
            <w:r w:rsidR="00F7512D" w:rsidRPr="009474B2">
              <w:rPr>
                <w:rFonts w:ascii="Avenir Next LT Pro" w:hAnsi="Avenir Next LT Pro"/>
              </w:rPr>
              <w:t xml:space="preserve"> for future analyses that could help us better understand </w:t>
            </w:r>
            <w:r w:rsidR="00C30180" w:rsidRPr="009474B2">
              <w:rPr>
                <w:rFonts w:ascii="Avenir Next LT Pro" w:hAnsi="Avenir Next LT Pro"/>
              </w:rPr>
              <w:t>isotretinoin prescription variation</w:t>
            </w:r>
            <w:r w:rsidR="001E2610" w:rsidRPr="009474B2">
              <w:rPr>
                <w:rFonts w:ascii="Avenir Next LT Pro" w:hAnsi="Avenir Next LT Pro"/>
              </w:rPr>
              <w:t>; submit data for presentation to regional and national dermatology conferences</w:t>
            </w:r>
            <w:r w:rsidR="00CC244F" w:rsidRPr="009474B2">
              <w:rPr>
                <w:rFonts w:ascii="Avenir Next LT Pro" w:hAnsi="Avenir Next LT Pro"/>
              </w:rPr>
              <w:t>.</w:t>
            </w:r>
          </w:p>
        </w:tc>
      </w:tr>
      <w:tr w:rsidR="00CB181E" w:rsidRPr="009474B2" w14:paraId="1F3F5D11" w14:textId="77777777" w:rsidTr="009474B2">
        <w:trPr>
          <w:trHeight w:val="552"/>
        </w:trPr>
        <w:tc>
          <w:tcPr>
            <w:tcW w:w="1975" w:type="dxa"/>
            <w:shd w:val="clear" w:color="auto" w:fill="DEEAF6" w:themeFill="accent5" w:themeFillTint="33"/>
          </w:tcPr>
          <w:p w14:paraId="35C772BE" w14:textId="77777777" w:rsidR="00CB181E" w:rsidRPr="009474B2" w:rsidRDefault="00CB181E" w:rsidP="000750EC">
            <w:pPr>
              <w:spacing w:line="259" w:lineRule="auto"/>
              <w:rPr>
                <w:rFonts w:ascii="Avenir Next LT Pro" w:hAnsi="Avenir Next LT Pro"/>
              </w:rPr>
            </w:pPr>
            <w:r w:rsidRPr="009474B2">
              <w:rPr>
                <w:rFonts w:ascii="Avenir Next LT Pro" w:hAnsi="Avenir Next LT Pro"/>
              </w:rPr>
              <w:t>Implementation Measurement</w:t>
            </w:r>
          </w:p>
        </w:tc>
        <w:tc>
          <w:tcPr>
            <w:tcW w:w="8730" w:type="dxa"/>
          </w:tcPr>
          <w:p w14:paraId="3F89A9AE" w14:textId="76969F5F" w:rsidR="00CB181E" w:rsidRPr="009474B2" w:rsidRDefault="00C30180" w:rsidP="000750EC">
            <w:pPr>
              <w:spacing w:line="259" w:lineRule="auto"/>
              <w:rPr>
                <w:rFonts w:ascii="Avenir Next LT Pro" w:hAnsi="Avenir Next LT Pro"/>
              </w:rPr>
            </w:pPr>
            <w:r w:rsidRPr="009474B2">
              <w:rPr>
                <w:rFonts w:ascii="Avenir Next LT Pro" w:hAnsi="Avenir Next LT Pro"/>
              </w:rPr>
              <w:t>Re-examine isotretinoin prescription rates at the Service Area level in 1-2 years</w:t>
            </w:r>
            <w:r w:rsidR="00CC244F" w:rsidRPr="009474B2">
              <w:rPr>
                <w:rFonts w:ascii="Avenir Next LT Pro" w:hAnsi="Avenir Next LT Pro"/>
              </w:rPr>
              <w:t xml:space="preserve"> and re-assess covariates from original study.</w:t>
            </w:r>
          </w:p>
        </w:tc>
      </w:tr>
      <w:tr w:rsidR="00CB181E" w:rsidRPr="009474B2" w14:paraId="6B85318D" w14:textId="77777777" w:rsidTr="009474B2">
        <w:trPr>
          <w:trHeight w:val="538"/>
        </w:trPr>
        <w:tc>
          <w:tcPr>
            <w:tcW w:w="1975" w:type="dxa"/>
            <w:shd w:val="clear" w:color="auto" w:fill="DEEAF6" w:themeFill="accent5" w:themeFillTint="33"/>
          </w:tcPr>
          <w:p w14:paraId="5CE21B62" w14:textId="77777777" w:rsidR="00CB181E" w:rsidRPr="009474B2" w:rsidRDefault="00CB181E" w:rsidP="000750EC">
            <w:pPr>
              <w:spacing w:line="259" w:lineRule="auto"/>
              <w:rPr>
                <w:rFonts w:ascii="Avenir Next LT Pro" w:hAnsi="Avenir Next LT Pro"/>
              </w:rPr>
            </w:pPr>
            <w:r w:rsidRPr="009474B2">
              <w:rPr>
                <w:rFonts w:ascii="Avenir Next LT Pro" w:hAnsi="Avenir Next LT Pro"/>
              </w:rPr>
              <w:t>Reference</w:t>
            </w:r>
          </w:p>
        </w:tc>
        <w:tc>
          <w:tcPr>
            <w:tcW w:w="8730" w:type="dxa"/>
          </w:tcPr>
          <w:p w14:paraId="0C0D0BAA" w14:textId="585E20E4" w:rsidR="00CB181E" w:rsidRPr="009474B2" w:rsidRDefault="00C30180" w:rsidP="000750EC">
            <w:pPr>
              <w:spacing w:line="259" w:lineRule="auto"/>
              <w:rPr>
                <w:rFonts w:ascii="Avenir Next LT Pro" w:hAnsi="Avenir Next LT Pro"/>
              </w:rPr>
            </w:pPr>
            <w:r w:rsidRPr="009474B2">
              <w:rPr>
                <w:rFonts w:ascii="Avenir Next LT Pro" w:hAnsi="Avenir Next LT Pro"/>
                <w:noProof/>
              </w:rPr>
              <w:t>Please see below.</w:t>
            </w:r>
            <w:r w:rsidR="00CB181E" w:rsidRPr="009474B2">
              <w:rPr>
                <w:rFonts w:ascii="Avenir Next LT Pro" w:hAnsi="Avenir Next LT Pro"/>
              </w:rPr>
              <w:t xml:space="preserve"> </w:t>
            </w:r>
          </w:p>
        </w:tc>
      </w:tr>
      <w:bookmarkEnd w:id="0"/>
    </w:tbl>
    <w:p w14:paraId="6FCAE249" w14:textId="77777777" w:rsidR="00CB181E" w:rsidRPr="009474B2" w:rsidRDefault="00CB181E" w:rsidP="00CB181E">
      <w:pPr>
        <w:spacing w:after="0"/>
        <w:rPr>
          <w:rFonts w:ascii="Avenir Next LT Pro" w:hAnsi="Avenir Next LT Pro"/>
        </w:rPr>
      </w:pPr>
    </w:p>
    <w:p w14:paraId="188C87AE" w14:textId="77777777" w:rsidR="00676EBA" w:rsidRPr="009474B2" w:rsidRDefault="00676EBA">
      <w:pPr>
        <w:rPr>
          <w:rFonts w:ascii="Avenir Next LT Pro" w:hAnsi="Avenir Next LT Pro"/>
        </w:rPr>
      </w:pPr>
    </w:p>
    <w:p w14:paraId="7F2CB146" w14:textId="05EB3B70" w:rsidR="00741E1E" w:rsidRPr="009474B2" w:rsidRDefault="00741E1E">
      <w:pPr>
        <w:rPr>
          <w:rFonts w:ascii="Avenir Next LT Pro" w:hAnsi="Avenir Next LT Pro"/>
        </w:rPr>
      </w:pPr>
      <w:r w:rsidRPr="009474B2">
        <w:rPr>
          <w:rFonts w:ascii="Avenir Next LT Pro" w:hAnsi="Avenir Next LT Pro"/>
        </w:rPr>
        <w:t> </w:t>
      </w:r>
      <w:r w:rsidRPr="009474B2">
        <w:rPr>
          <w:rFonts w:ascii="Avenir Next LT Pro" w:hAnsi="Avenir Next LT Pro"/>
          <w:noProof/>
        </w:rPr>
        <w:drawing>
          <wp:inline distT="0" distB="0" distL="0" distR="0" wp14:anchorId="09BDFD3C" wp14:editId="6E4FC952">
            <wp:extent cx="6858000" cy="3856355"/>
            <wp:effectExtent l="0" t="0" r="0" b="0"/>
            <wp:docPr id="1467583641" name="Picture 1" descr="A diagram of a group of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583641" name="Picture 1" descr="A diagram of a group of peopl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0" cy="3856355"/>
                    </a:xfrm>
                    <a:prstGeom prst="rect">
                      <a:avLst/>
                    </a:prstGeom>
                    <a:noFill/>
                    <a:ln>
                      <a:noFill/>
                    </a:ln>
                  </pic:spPr>
                </pic:pic>
              </a:graphicData>
            </a:graphic>
          </wp:inline>
        </w:drawing>
      </w:r>
    </w:p>
    <w:p w14:paraId="2B5F87E3" w14:textId="77777777" w:rsidR="00741E1E" w:rsidRDefault="00741E1E">
      <w:pPr>
        <w:rPr>
          <w:rFonts w:ascii="Avenir Next LT Pro" w:hAnsi="Avenir Next LT Pro"/>
        </w:rPr>
      </w:pPr>
    </w:p>
    <w:p w14:paraId="376C0F51" w14:textId="77777777" w:rsidR="00C3722A" w:rsidRDefault="00C3722A">
      <w:pPr>
        <w:rPr>
          <w:rFonts w:ascii="Avenir Next LT Pro" w:hAnsi="Avenir Next LT Pro"/>
        </w:rPr>
      </w:pPr>
    </w:p>
    <w:p w14:paraId="2527EC6E" w14:textId="77777777" w:rsidR="00C3722A" w:rsidRPr="009474B2" w:rsidRDefault="00C3722A">
      <w:pPr>
        <w:rPr>
          <w:rFonts w:ascii="Avenir Next LT Pro" w:hAnsi="Avenir Next LT Pro"/>
        </w:rPr>
      </w:pPr>
    </w:p>
    <w:p w14:paraId="38F69E1A" w14:textId="26C0AB92" w:rsidR="00741E1E" w:rsidRPr="009474B2" w:rsidRDefault="00A72181">
      <w:pPr>
        <w:rPr>
          <w:rFonts w:ascii="Avenir Next LT Pro" w:hAnsi="Avenir Next LT Pro"/>
        </w:rPr>
      </w:pPr>
      <w:r>
        <w:rPr>
          <w:noProof/>
        </w:rPr>
        <w:drawing>
          <wp:inline distT="0" distB="0" distL="0" distR="0" wp14:anchorId="0E461794" wp14:editId="27222EBB">
            <wp:extent cx="6902450" cy="3106103"/>
            <wp:effectExtent l="0" t="0" r="0" b="0"/>
            <wp:docPr id="2661842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6909224" cy="3109151"/>
                    </a:xfrm>
                    <a:prstGeom prst="rect">
                      <a:avLst/>
                    </a:prstGeom>
                    <a:noFill/>
                    <a:ln>
                      <a:noFill/>
                    </a:ln>
                  </pic:spPr>
                </pic:pic>
              </a:graphicData>
            </a:graphic>
          </wp:inline>
        </w:drawing>
      </w:r>
    </w:p>
    <w:p w14:paraId="7A27235E" w14:textId="77777777" w:rsidR="00681D1A" w:rsidRPr="009474B2" w:rsidRDefault="00681D1A">
      <w:pPr>
        <w:rPr>
          <w:rFonts w:ascii="Avenir Next LT Pro" w:hAnsi="Avenir Next LT Pro"/>
        </w:rPr>
      </w:pPr>
    </w:p>
    <w:p w14:paraId="3EC729FC" w14:textId="77777777" w:rsidR="00461059" w:rsidRPr="009474B2" w:rsidRDefault="00461059">
      <w:pPr>
        <w:rPr>
          <w:rFonts w:ascii="Avenir Next LT Pro" w:hAnsi="Avenir Next LT Pro"/>
        </w:rPr>
      </w:pPr>
    </w:p>
    <w:p w14:paraId="6B2039BF" w14:textId="541DB73B" w:rsidR="00461059" w:rsidRPr="009474B2" w:rsidRDefault="00461059">
      <w:pPr>
        <w:rPr>
          <w:rFonts w:ascii="Avenir Next LT Pro" w:hAnsi="Avenir Next LT Pro"/>
        </w:rPr>
      </w:pPr>
      <w:r w:rsidRPr="009474B2">
        <w:rPr>
          <w:rFonts w:ascii="Avenir Next LT Pro" w:hAnsi="Avenir Next LT Pro"/>
        </w:rPr>
        <w:t> </w:t>
      </w:r>
      <w:r w:rsidRPr="009474B2">
        <w:rPr>
          <w:rFonts w:ascii="Avenir Next LT Pro" w:hAnsi="Avenir Next LT Pro"/>
          <w:noProof/>
        </w:rPr>
        <w:drawing>
          <wp:inline distT="0" distB="0" distL="0" distR="0" wp14:anchorId="735C0727" wp14:editId="22EF5F0A">
            <wp:extent cx="6858000" cy="3856355"/>
            <wp:effectExtent l="0" t="0" r="0" b="0"/>
            <wp:docPr id="115698425" name="Picture 4" descr="A screenshot of a dat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98425" name="Picture 4" descr="A screenshot of a data&#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58000" cy="3856355"/>
                    </a:xfrm>
                    <a:prstGeom prst="rect">
                      <a:avLst/>
                    </a:prstGeom>
                    <a:noFill/>
                    <a:ln>
                      <a:noFill/>
                    </a:ln>
                  </pic:spPr>
                </pic:pic>
              </a:graphicData>
            </a:graphic>
          </wp:inline>
        </w:drawing>
      </w:r>
    </w:p>
    <w:p w14:paraId="11021BDA" w14:textId="77777777" w:rsidR="00461059" w:rsidRPr="009474B2" w:rsidRDefault="00461059">
      <w:pPr>
        <w:rPr>
          <w:rFonts w:ascii="Avenir Next LT Pro" w:hAnsi="Avenir Next LT Pro"/>
        </w:rPr>
      </w:pPr>
    </w:p>
    <w:p w14:paraId="63B86829" w14:textId="58CA92DF" w:rsidR="00681D1A" w:rsidRPr="009474B2" w:rsidRDefault="00681D1A" w:rsidP="00681D1A">
      <w:pPr>
        <w:jc w:val="center"/>
        <w:rPr>
          <w:rFonts w:ascii="Avenir Next LT Pro" w:hAnsi="Avenir Next LT Pro"/>
        </w:rPr>
      </w:pPr>
      <w:r w:rsidRPr="009474B2">
        <w:rPr>
          <w:rFonts w:ascii="Avenir Next LT Pro" w:hAnsi="Avenir Next LT Pro"/>
          <w:noProof/>
        </w:rPr>
        <w:drawing>
          <wp:inline distT="0" distB="0" distL="0" distR="0" wp14:anchorId="25408A7E" wp14:editId="1F216B09">
            <wp:extent cx="6288405" cy="2215563"/>
            <wp:effectExtent l="0" t="0" r="0" b="0"/>
            <wp:docPr id="1661365995" name="Picture 3" descr="A screenshot of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365995" name="Picture 3" descr="A screenshot of a tabl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00550" cy="2219842"/>
                    </a:xfrm>
                    <a:prstGeom prst="rect">
                      <a:avLst/>
                    </a:prstGeom>
                    <a:noFill/>
                    <a:ln>
                      <a:noFill/>
                    </a:ln>
                  </pic:spPr>
                </pic:pic>
              </a:graphicData>
            </a:graphic>
          </wp:inline>
        </w:drawing>
      </w:r>
    </w:p>
    <w:sectPr w:rsidR="00681D1A" w:rsidRPr="009474B2" w:rsidSect="009752F2">
      <w:headerReference w:type="default" r:id="rId14"/>
      <w:footerReference w:type="default" r:id="rId15"/>
      <w:headerReference w:type="first" r:id="rId16"/>
      <w:pgSz w:w="12240" w:h="15840"/>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0F309" w14:textId="77777777" w:rsidR="002C5987" w:rsidRDefault="002C5987" w:rsidP="009474B2">
      <w:pPr>
        <w:spacing w:after="0" w:line="240" w:lineRule="auto"/>
      </w:pPr>
      <w:r>
        <w:separator/>
      </w:r>
    </w:p>
  </w:endnote>
  <w:endnote w:type="continuationSeparator" w:id="0">
    <w:p w14:paraId="55D052AF" w14:textId="77777777" w:rsidR="002C5987" w:rsidRDefault="002C5987" w:rsidP="00947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8147313"/>
      <w:docPartObj>
        <w:docPartGallery w:val="Page Numbers (Bottom of Page)"/>
        <w:docPartUnique/>
      </w:docPartObj>
    </w:sdtPr>
    <w:sdtEndPr>
      <w:rPr>
        <w:rFonts w:ascii="Avenir Next LT Pro" w:hAnsi="Avenir Next LT Pro"/>
        <w:noProof/>
        <w:sz w:val="20"/>
        <w:szCs w:val="20"/>
      </w:rPr>
    </w:sdtEndPr>
    <w:sdtContent>
      <w:p w14:paraId="2813BF20" w14:textId="1A1F5F33" w:rsidR="009474B2" w:rsidRPr="009474B2" w:rsidRDefault="009474B2">
        <w:pPr>
          <w:pStyle w:val="Footer"/>
          <w:jc w:val="right"/>
          <w:rPr>
            <w:rFonts w:ascii="Avenir Next LT Pro" w:hAnsi="Avenir Next LT Pro"/>
            <w:sz w:val="20"/>
            <w:szCs w:val="20"/>
          </w:rPr>
        </w:pPr>
        <w:r w:rsidRPr="009474B2">
          <w:rPr>
            <w:rFonts w:ascii="Avenir Next LT Pro" w:hAnsi="Avenir Next LT Pro"/>
            <w:sz w:val="20"/>
            <w:szCs w:val="20"/>
          </w:rPr>
          <w:fldChar w:fldCharType="begin"/>
        </w:r>
        <w:r w:rsidRPr="009474B2">
          <w:rPr>
            <w:rFonts w:ascii="Avenir Next LT Pro" w:hAnsi="Avenir Next LT Pro"/>
            <w:sz w:val="20"/>
            <w:szCs w:val="20"/>
          </w:rPr>
          <w:instrText xml:space="preserve"> PAGE   \* MERGEFORMAT </w:instrText>
        </w:r>
        <w:r w:rsidRPr="009474B2">
          <w:rPr>
            <w:rFonts w:ascii="Avenir Next LT Pro" w:hAnsi="Avenir Next LT Pro"/>
            <w:sz w:val="20"/>
            <w:szCs w:val="20"/>
          </w:rPr>
          <w:fldChar w:fldCharType="separate"/>
        </w:r>
        <w:r w:rsidRPr="009474B2">
          <w:rPr>
            <w:rFonts w:ascii="Avenir Next LT Pro" w:hAnsi="Avenir Next LT Pro"/>
            <w:noProof/>
            <w:sz w:val="20"/>
            <w:szCs w:val="20"/>
          </w:rPr>
          <w:t>2</w:t>
        </w:r>
        <w:r w:rsidRPr="009474B2">
          <w:rPr>
            <w:rFonts w:ascii="Avenir Next LT Pro" w:hAnsi="Avenir Next LT Pro"/>
            <w:noProof/>
            <w:sz w:val="20"/>
            <w:szCs w:val="20"/>
          </w:rPr>
          <w:fldChar w:fldCharType="end"/>
        </w:r>
      </w:p>
    </w:sdtContent>
  </w:sdt>
  <w:p w14:paraId="47F64758" w14:textId="77777777" w:rsidR="009474B2" w:rsidRDefault="009474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B4A8D" w14:textId="77777777" w:rsidR="002C5987" w:rsidRDefault="002C5987" w:rsidP="009474B2">
      <w:pPr>
        <w:spacing w:after="0" w:line="240" w:lineRule="auto"/>
      </w:pPr>
      <w:r>
        <w:separator/>
      </w:r>
    </w:p>
  </w:footnote>
  <w:footnote w:type="continuationSeparator" w:id="0">
    <w:p w14:paraId="7D189109" w14:textId="77777777" w:rsidR="002C5987" w:rsidRDefault="002C5987" w:rsidP="009474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7F24B" w14:textId="77777777" w:rsidR="00DC60EB" w:rsidRPr="002B4A88" w:rsidRDefault="00A72181" w:rsidP="002B4A88">
    <w:pPr>
      <w:spacing w:after="0" w:line="240" w:lineRule="auto"/>
      <w:rPr>
        <w:rFonts w:ascii="Arial" w:hAnsi="Arial" w:cs="Arial"/>
        <w:bCs/>
      </w:rPr>
    </w:pPr>
    <w:bookmarkStart w:id="1" w:name="_Hlk168473714"/>
    <w:bookmarkStart w:id="2" w:name="_Hlk168473715"/>
    <w:r>
      <w:rPr>
        <w:rFonts w:ascii="Arial" w:hAnsi="Arial" w:cs="Arial"/>
        <w:bCs/>
      </w:rPr>
      <w:t>Rapid Analytics Unit</w:t>
    </w:r>
    <w:r w:rsidRPr="00142C37">
      <w:rPr>
        <w:rFonts w:ascii="Arial" w:hAnsi="Arial" w:cs="Arial"/>
        <w:bCs/>
      </w:rPr>
      <w:t xml:space="preserve"> </w:t>
    </w:r>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8D1FA" w14:textId="77777777" w:rsidR="00D55445" w:rsidRPr="002B4A88" w:rsidRDefault="00D55445" w:rsidP="00D55445">
    <w:pPr>
      <w:spacing w:after="0" w:line="240" w:lineRule="auto"/>
      <w:rPr>
        <w:rFonts w:ascii="Arial" w:hAnsi="Arial" w:cs="Arial"/>
        <w:bCs/>
      </w:rPr>
    </w:pPr>
    <w:r>
      <w:rPr>
        <w:rFonts w:ascii="Arial" w:hAnsi="Arial" w:cs="Arial"/>
        <w:bCs/>
      </w:rPr>
      <w:t>Rapid Analytics Unit</w:t>
    </w:r>
    <w:r w:rsidRPr="00142C37">
      <w:rPr>
        <w:rFonts w:ascii="Arial" w:hAnsi="Arial" w:cs="Arial"/>
        <w:bCs/>
      </w:rPr>
      <w:t xml:space="preserve"> </w:t>
    </w:r>
  </w:p>
  <w:p w14:paraId="1F95EEF0" w14:textId="77777777" w:rsidR="00D55445" w:rsidRPr="00D55445" w:rsidRDefault="00D55445" w:rsidP="00D554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81E"/>
    <w:rsid w:val="00012ACB"/>
    <w:rsid w:val="00031486"/>
    <w:rsid w:val="0007327E"/>
    <w:rsid w:val="000F4A4B"/>
    <w:rsid w:val="001E2610"/>
    <w:rsid w:val="001F25B1"/>
    <w:rsid w:val="00210CA8"/>
    <w:rsid w:val="002153EF"/>
    <w:rsid w:val="0024499C"/>
    <w:rsid w:val="002712A5"/>
    <w:rsid w:val="002A0A92"/>
    <w:rsid w:val="002C0DAE"/>
    <w:rsid w:val="002C5987"/>
    <w:rsid w:val="002F692F"/>
    <w:rsid w:val="003157B9"/>
    <w:rsid w:val="00371163"/>
    <w:rsid w:val="00384401"/>
    <w:rsid w:val="004540FE"/>
    <w:rsid w:val="00461059"/>
    <w:rsid w:val="00473D9E"/>
    <w:rsid w:val="00517B50"/>
    <w:rsid w:val="00562B1A"/>
    <w:rsid w:val="005C7E01"/>
    <w:rsid w:val="00604698"/>
    <w:rsid w:val="00674EE5"/>
    <w:rsid w:val="00676EBA"/>
    <w:rsid w:val="00681D1A"/>
    <w:rsid w:val="006961F9"/>
    <w:rsid w:val="00735B7D"/>
    <w:rsid w:val="00741E1E"/>
    <w:rsid w:val="007512C6"/>
    <w:rsid w:val="00763F0A"/>
    <w:rsid w:val="00792482"/>
    <w:rsid w:val="007C2FB4"/>
    <w:rsid w:val="007C670D"/>
    <w:rsid w:val="007D6BAF"/>
    <w:rsid w:val="007E3689"/>
    <w:rsid w:val="007E4958"/>
    <w:rsid w:val="00890B76"/>
    <w:rsid w:val="008940A2"/>
    <w:rsid w:val="009474B2"/>
    <w:rsid w:val="00960A93"/>
    <w:rsid w:val="009752F2"/>
    <w:rsid w:val="00A527BE"/>
    <w:rsid w:val="00A72181"/>
    <w:rsid w:val="00AA5B21"/>
    <w:rsid w:val="00AE64B8"/>
    <w:rsid w:val="00B66222"/>
    <w:rsid w:val="00B91D0F"/>
    <w:rsid w:val="00BE26AC"/>
    <w:rsid w:val="00BF0052"/>
    <w:rsid w:val="00C30180"/>
    <w:rsid w:val="00C33775"/>
    <w:rsid w:val="00C3722A"/>
    <w:rsid w:val="00CB181E"/>
    <w:rsid w:val="00CC244F"/>
    <w:rsid w:val="00CD0388"/>
    <w:rsid w:val="00CE685E"/>
    <w:rsid w:val="00D42E43"/>
    <w:rsid w:val="00D55445"/>
    <w:rsid w:val="00DB3EC2"/>
    <w:rsid w:val="00DC60EB"/>
    <w:rsid w:val="00E77A24"/>
    <w:rsid w:val="00E94984"/>
    <w:rsid w:val="00EA0259"/>
    <w:rsid w:val="00ED070D"/>
    <w:rsid w:val="00EE7EBE"/>
    <w:rsid w:val="00F428D4"/>
    <w:rsid w:val="00F7512D"/>
    <w:rsid w:val="00F77AD5"/>
    <w:rsid w:val="00FF7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D4B0E"/>
  <w15:chartTrackingRefBased/>
  <w15:docId w15:val="{244F7D6E-AFF6-4EAA-8DB6-0B4FD92E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81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181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752F2"/>
    <w:pPr>
      <w:spacing w:after="0" w:line="240" w:lineRule="auto"/>
    </w:pPr>
    <w:rPr>
      <w:color w:val="44546A" w:themeColor="text2"/>
      <w:kern w:val="0"/>
      <w:sz w:val="20"/>
      <w:szCs w:val="20"/>
      <w14:ligatures w14:val="none"/>
    </w:rPr>
  </w:style>
  <w:style w:type="paragraph" w:styleId="Header">
    <w:name w:val="header"/>
    <w:basedOn w:val="Normal"/>
    <w:link w:val="HeaderChar"/>
    <w:uiPriority w:val="99"/>
    <w:unhideWhenUsed/>
    <w:rsid w:val="009474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74B2"/>
    <w:rPr>
      <w:kern w:val="0"/>
      <w14:ligatures w14:val="none"/>
    </w:rPr>
  </w:style>
  <w:style w:type="paragraph" w:styleId="Footer">
    <w:name w:val="footer"/>
    <w:basedOn w:val="Normal"/>
    <w:link w:val="FooterChar"/>
    <w:uiPriority w:val="99"/>
    <w:unhideWhenUsed/>
    <w:rsid w:val="009474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74B2"/>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cid:image001.png@01DA6402.97FBBA60"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A7FAD6358FF44797152258F9FF7A83" ma:contentTypeVersion="1" ma:contentTypeDescription="Create a new document." ma:contentTypeScope="" ma:versionID="fe005cc003bb5b4080769400e5f53134">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8669EAD-D068-4421-BAF6-7D281167F607}">
  <ds:schemaRefs>
    <ds:schemaRef ds:uri="http://schemas.microsoft.com/sharepoint/v3/contenttype/forms"/>
  </ds:schemaRefs>
</ds:datastoreItem>
</file>

<file path=customXml/itemProps3.xml><?xml version="1.0" encoding="utf-8"?>
<ds:datastoreItem xmlns:ds="http://schemas.openxmlformats.org/officeDocument/2006/customXml" ds:itemID="{2071EDF4-98E2-4962-BF10-29D56E1D16F9}"/>
</file>

<file path=customXml/itemProps4.xml><?xml version="1.0" encoding="utf-8"?>
<ds:datastoreItem xmlns:ds="http://schemas.openxmlformats.org/officeDocument/2006/customXml" ds:itemID="{BF4BE36C-58E2-472F-915B-F2A367747557}"/>
</file>

<file path=docMetadata/LabelInfo.xml><?xml version="1.0" encoding="utf-8"?>
<clbl:labelList xmlns:clbl="http://schemas.microsoft.com/office/2020/mipLabelMetadata">
  <clbl:label id="{3f8a7bc4-e337-47a5-a0fc-0d512c0e05f1}" enabled="0" method="" siteId="{3f8a7bc4-e337-47a5-a0fc-0d512c0e05f1}"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3</Pages>
  <Words>504</Words>
  <Characters>2873</Characters>
  <Application>Microsoft Office Word</Application>
  <DocSecurity>0</DocSecurity>
  <Lines>23</Lines>
  <Paragraphs>6</Paragraphs>
  <ScaleCrop>false</ScaleCrop>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Isotretinoin Prescription Rate Variability n Acne Patients: An Ecological Study at KPNC</dc:title>
  <dc:subject/>
  <dc:creator>Rapid Analytics Unit</dc:creator>
  <cp:keywords/>
  <dc:description/>
  <cp:lastModifiedBy>Natalie Au</cp:lastModifiedBy>
  <cp:revision>2</cp:revision>
  <dcterms:created xsi:type="dcterms:W3CDTF">2024-06-05T16:56:00Z</dcterms:created>
  <dcterms:modified xsi:type="dcterms:W3CDTF">2024-06-05T16:56:00Z</dcterms:modified>
  <cp:category>February 2024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0x0101000FA7FAD6358FF44797152258F9FF7A83</vt:lpwstr>
  </property>
</Properties>
</file>