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812DC" w14:textId="165CD1D1" w:rsidR="1A557A28" w:rsidRDefault="003277D0" w:rsidP="003277D0">
      <w:pPr>
        <w:jc w:val="center"/>
        <w:rPr>
          <w:rFonts w:ascii="Calibri" w:eastAsia="Calibri" w:hAnsi="Calibri" w:cs="Calibri"/>
          <w:color w:val="4472C4" w:themeColor="accent1"/>
          <w:sz w:val="28"/>
          <w:szCs w:val="28"/>
        </w:rPr>
      </w:pPr>
      <w:r>
        <w:rPr>
          <w:rFonts w:ascii="Calibri" w:eastAsia="Calibri" w:hAnsi="Calibri" w:cs="Calibri"/>
          <w:color w:val="4472C4" w:themeColor="accent1"/>
          <w:sz w:val="28"/>
          <w:szCs w:val="28"/>
        </w:rPr>
        <w:t>COVID-19 in the ED Encounter; Characteristics and Predicting Outcomes</w:t>
      </w:r>
    </w:p>
    <w:p w14:paraId="7FCD574A" w14:textId="02D60B4E" w:rsidR="008A7C90" w:rsidRDefault="00A33CFE" w:rsidP="00D24534">
      <w:pPr>
        <w:spacing w:after="0"/>
      </w:pPr>
      <w:r>
        <w:t>Cotton DM, Liu L, Vinson DR, Ballard DW, Sax DR, Hofmann ER, Lin JS, Durant EJ, Kene MV, Casey SD, Ghiya M, Shan J, Bouvet SC, McLachlan ID, Rauchwerger AS, Mark DG, Reed ME</w:t>
      </w:r>
    </w:p>
    <w:tbl>
      <w:tblPr>
        <w:tblStyle w:val="TableGrid"/>
        <w:tblpPr w:leftFromText="180" w:rightFromText="180" w:vertAnchor="page" w:horzAnchor="margin" w:tblpY="2581"/>
        <w:tblW w:w="10705" w:type="dxa"/>
        <w:tblLook w:val="04A0" w:firstRow="1" w:lastRow="0" w:firstColumn="1" w:lastColumn="0" w:noHBand="0" w:noVBand="1"/>
      </w:tblPr>
      <w:tblGrid>
        <w:gridCol w:w="1975"/>
        <w:gridCol w:w="8730"/>
      </w:tblGrid>
      <w:tr w:rsidR="0048655A" w:rsidRPr="008A7C90" w14:paraId="307289BF" w14:textId="77777777" w:rsidTr="00C73A94">
        <w:trPr>
          <w:trHeight w:val="816"/>
        </w:trPr>
        <w:tc>
          <w:tcPr>
            <w:tcW w:w="1975" w:type="dxa"/>
          </w:tcPr>
          <w:p w14:paraId="2C7E2D09" w14:textId="77777777" w:rsidR="0048655A" w:rsidRPr="008A7C90" w:rsidRDefault="0048655A" w:rsidP="0048655A">
            <w:pPr>
              <w:spacing w:line="259" w:lineRule="auto"/>
            </w:pPr>
            <w:bookmarkStart w:id="0" w:name="_Hlk54105970"/>
            <w:r w:rsidRPr="008A7C90">
              <w:t>Challenge</w:t>
            </w:r>
          </w:p>
        </w:tc>
        <w:tc>
          <w:tcPr>
            <w:tcW w:w="8730" w:type="dxa"/>
          </w:tcPr>
          <w:p w14:paraId="7F9273D4" w14:textId="7B89ACA4" w:rsidR="0048655A" w:rsidRPr="007C3C8B" w:rsidRDefault="00FD5025" w:rsidP="00FD5025">
            <w:r w:rsidRPr="007C3C8B">
              <w:t xml:space="preserve">Despite significant inquiry into therapies for COVID-19, no therapies have emerged as </w:t>
            </w:r>
            <w:proofErr w:type="gramStart"/>
            <w:r w:rsidRPr="007C3C8B">
              <w:t>curative</w:t>
            </w:r>
            <w:proofErr w:type="gramEnd"/>
            <w:r w:rsidRPr="007C3C8B">
              <w:t xml:space="preserve"> and the modest benefit seen in the best studied therapies are marginal. Therefore, supportive care remains the mainstay of therapy and decision-making around use of supportive care resources (</w:t>
            </w:r>
            <w:proofErr w:type="spellStart"/>
            <w:r w:rsidRPr="007C3C8B">
              <w:t>ie</w:t>
            </w:r>
            <w:proofErr w:type="spellEnd"/>
            <w:r w:rsidRPr="007C3C8B">
              <w:t xml:space="preserve">, admission to hospital) remains the keystone of COVID-19 care. </w:t>
            </w:r>
          </w:p>
        </w:tc>
      </w:tr>
      <w:tr w:rsidR="0048655A" w:rsidRPr="008A7C90" w14:paraId="67D435C8" w14:textId="77777777" w:rsidTr="00C73A94">
        <w:trPr>
          <w:trHeight w:val="1091"/>
        </w:trPr>
        <w:tc>
          <w:tcPr>
            <w:tcW w:w="1975" w:type="dxa"/>
          </w:tcPr>
          <w:p w14:paraId="351B366F" w14:textId="77777777" w:rsidR="0048655A" w:rsidRPr="008A7C90" w:rsidRDefault="0048655A" w:rsidP="0048655A">
            <w:pPr>
              <w:spacing w:line="259" w:lineRule="auto"/>
            </w:pPr>
            <w:r w:rsidRPr="008A7C90">
              <w:t>Existing Evidence</w:t>
            </w:r>
          </w:p>
        </w:tc>
        <w:tc>
          <w:tcPr>
            <w:tcW w:w="8730" w:type="dxa"/>
          </w:tcPr>
          <w:p w14:paraId="13880F8C" w14:textId="77777777" w:rsidR="00FD5025" w:rsidRPr="007C3C8B" w:rsidRDefault="00FD5025" w:rsidP="0048655A">
            <w:pPr>
              <w:spacing w:line="259" w:lineRule="auto"/>
            </w:pPr>
            <w:r w:rsidRPr="007C3C8B">
              <w:t xml:space="preserve">Understanding who is at risk for progression to severe disease in COVID-19 has relied on population level factors available BEFORE clinical data is available (age, gender, comorbidities) or on clinical data (lab results, vital signs) of patients ALREADY hospitalized; bypassing the most important decision point – the decision to hospitalize from the ED. </w:t>
            </w:r>
          </w:p>
          <w:p w14:paraId="70BA4A48" w14:textId="77777777" w:rsidR="00FD5025" w:rsidRPr="007C3C8B" w:rsidRDefault="00FD5025" w:rsidP="0048655A">
            <w:pPr>
              <w:spacing w:line="259" w:lineRule="auto"/>
            </w:pPr>
          </w:p>
          <w:p w14:paraId="70041630" w14:textId="2BA5AD67" w:rsidR="0048655A" w:rsidRPr="007C3C8B" w:rsidRDefault="00FD5025" w:rsidP="0048655A">
            <w:pPr>
              <w:spacing w:line="259" w:lineRule="auto"/>
            </w:pPr>
            <w:r w:rsidRPr="007C3C8B">
              <w:t xml:space="preserve">The limitation of this approach is best seen through consideration of another medical condition we are familiar with, Acute Coronary Syndrome (ACS). We use a Framingham Risk </w:t>
            </w:r>
            <w:r w:rsidR="007C3C8B" w:rsidRPr="007C3C8B">
              <w:t xml:space="preserve">Score to identify </w:t>
            </w:r>
            <w:r w:rsidR="007C3C8B">
              <w:t>patients</w:t>
            </w:r>
            <w:r w:rsidR="007C3C8B" w:rsidRPr="007C3C8B">
              <w:t xml:space="preserve"> based on population level factors that may benefit from preventative risk reduction; but this score is not useful on the frontline to determine “is this specific patient having an ACS?” </w:t>
            </w:r>
            <w:r w:rsidR="005065DE">
              <w:t>Instead,</w:t>
            </w:r>
            <w:r w:rsidR="007C3C8B">
              <w:t xml:space="preserve"> we use an ACS clinical tool (</w:t>
            </w:r>
            <w:r w:rsidR="00F64D0A">
              <w:t>which focuses on bedside clinical data</w:t>
            </w:r>
            <w:r w:rsidR="007C3C8B">
              <w:t xml:space="preserve">) to make that determination. Similarly, we would not </w:t>
            </w:r>
            <w:r w:rsidR="00030E1A">
              <w:t>solely look at</w:t>
            </w:r>
            <w:r w:rsidR="007C3C8B">
              <w:t xml:space="preserve"> patients </w:t>
            </w:r>
            <w:r w:rsidR="007C3C8B" w:rsidRPr="00736886">
              <w:rPr>
                <w:i/>
                <w:iCs/>
              </w:rPr>
              <w:t>already</w:t>
            </w:r>
            <w:r w:rsidR="007C3C8B">
              <w:t xml:space="preserve"> hospitalized with ACS to determine who </w:t>
            </w:r>
            <w:r w:rsidR="007C3C8B" w:rsidRPr="00736886">
              <w:rPr>
                <w:i/>
                <w:iCs/>
              </w:rPr>
              <w:t>should be</w:t>
            </w:r>
            <w:r w:rsidR="007C3C8B">
              <w:t xml:space="preserve"> hospitalized for ACS, since patients who have been sent home already or were missed are excluded from this approach. </w:t>
            </w:r>
          </w:p>
        </w:tc>
      </w:tr>
      <w:tr w:rsidR="0048655A" w:rsidRPr="008A7C90" w14:paraId="136E6453" w14:textId="77777777" w:rsidTr="00C73A94">
        <w:trPr>
          <w:trHeight w:val="262"/>
        </w:trPr>
        <w:tc>
          <w:tcPr>
            <w:tcW w:w="1975" w:type="dxa"/>
          </w:tcPr>
          <w:p w14:paraId="53202DB8" w14:textId="77777777" w:rsidR="0048655A" w:rsidRPr="008A7C90" w:rsidRDefault="0048655A" w:rsidP="0048655A">
            <w:pPr>
              <w:spacing w:line="259" w:lineRule="auto"/>
            </w:pPr>
            <w:r w:rsidRPr="008A7C90">
              <w:t>Target Population</w:t>
            </w:r>
          </w:p>
        </w:tc>
        <w:tc>
          <w:tcPr>
            <w:tcW w:w="8730" w:type="dxa"/>
          </w:tcPr>
          <w:p w14:paraId="1486D38C" w14:textId="23256B72" w:rsidR="0048655A" w:rsidRPr="008A7C90" w:rsidRDefault="00F430F5" w:rsidP="0048655A">
            <w:pPr>
              <w:spacing w:line="259" w:lineRule="auto"/>
            </w:pPr>
            <w:r>
              <w:t>ED encounters (February 21</w:t>
            </w:r>
            <w:r w:rsidRPr="00F430F5">
              <w:rPr>
                <w:vertAlign w:val="superscript"/>
              </w:rPr>
              <w:t>st</w:t>
            </w:r>
            <w:r>
              <w:t xml:space="preserve">-April </w:t>
            </w:r>
            <w:proofErr w:type="gramStart"/>
            <w:r>
              <w:t>5</w:t>
            </w:r>
            <w:proofErr w:type="gramEnd"/>
            <w:r>
              <w:t xml:space="preserve"> 2020) with a first SARS-CoV-2 positive test within 21 days of their ED visit</w:t>
            </w:r>
            <w:r w:rsidR="007C3C8B">
              <w:t xml:space="preserve"> and a visit with symptoms consistent</w:t>
            </w:r>
            <w:r>
              <w:t xml:space="preserve"> with COVID-19</w:t>
            </w:r>
            <w:r w:rsidR="00551FBC">
              <w:t xml:space="preserve">. </w:t>
            </w:r>
          </w:p>
        </w:tc>
      </w:tr>
      <w:tr w:rsidR="0048655A" w:rsidRPr="008A7C90" w14:paraId="5B80BED5" w14:textId="77777777" w:rsidTr="00C73A94">
        <w:trPr>
          <w:trHeight w:val="276"/>
        </w:trPr>
        <w:tc>
          <w:tcPr>
            <w:tcW w:w="1975" w:type="dxa"/>
          </w:tcPr>
          <w:p w14:paraId="0D0B7C0D" w14:textId="77777777" w:rsidR="0048655A" w:rsidRPr="008A7C90" w:rsidRDefault="0048655A" w:rsidP="0048655A">
            <w:pPr>
              <w:spacing w:line="259" w:lineRule="auto"/>
            </w:pPr>
            <w:r w:rsidRPr="008A7C90">
              <w:t>Intervention or Exposure</w:t>
            </w:r>
          </w:p>
        </w:tc>
        <w:tc>
          <w:tcPr>
            <w:tcW w:w="8730" w:type="dxa"/>
          </w:tcPr>
          <w:p w14:paraId="0CA2C589" w14:textId="6BF98FA5" w:rsidR="0048655A" w:rsidRPr="008A7C90" w:rsidRDefault="00551FBC" w:rsidP="0048655A">
            <w:pPr>
              <w:spacing w:line="259" w:lineRule="auto"/>
            </w:pPr>
            <w:r>
              <w:t>Retrospective cohort study of COVID-19 patients in the ED</w:t>
            </w:r>
            <w:r w:rsidR="0048655A" w:rsidRPr="008A7C90">
              <w:t xml:space="preserve"> </w:t>
            </w:r>
          </w:p>
        </w:tc>
      </w:tr>
      <w:tr w:rsidR="0048655A" w:rsidRPr="008A7C90" w14:paraId="13978FD3" w14:textId="77777777" w:rsidTr="00C168AB">
        <w:trPr>
          <w:trHeight w:val="1595"/>
        </w:trPr>
        <w:tc>
          <w:tcPr>
            <w:tcW w:w="1975" w:type="dxa"/>
          </w:tcPr>
          <w:p w14:paraId="7525D5B4" w14:textId="77777777" w:rsidR="0048655A" w:rsidRPr="00EF635D" w:rsidRDefault="0048655A" w:rsidP="0048655A">
            <w:pPr>
              <w:spacing w:line="259" w:lineRule="auto"/>
              <w:rPr>
                <w:b/>
                <w:bCs/>
              </w:rPr>
            </w:pPr>
            <w:r w:rsidRPr="00EF635D">
              <w:rPr>
                <w:b/>
                <w:bCs/>
              </w:rPr>
              <w:t>Outcomes/Key Findings</w:t>
            </w:r>
          </w:p>
        </w:tc>
        <w:tc>
          <w:tcPr>
            <w:tcW w:w="8730" w:type="dxa"/>
          </w:tcPr>
          <w:p w14:paraId="3CD35CB0" w14:textId="0F50D2E2" w:rsidR="00736886" w:rsidRPr="00030E1A" w:rsidRDefault="00F430F5" w:rsidP="0031051B">
            <w:pPr>
              <w:spacing w:line="259" w:lineRule="auto"/>
              <w:rPr>
                <w:b/>
                <w:bCs/>
              </w:rPr>
            </w:pPr>
            <w:r>
              <w:t xml:space="preserve">Of the first 1000 encounters, 802 met our inclusion criteria: 15% were over 75 years; 47% were female, 31% were non-Hispanic white. Overall, 394 were hospitalized and 161 had a </w:t>
            </w:r>
            <w:r w:rsidR="0068008B">
              <w:t>critical outcome</w:t>
            </w:r>
            <w:r>
              <w:t xml:space="preserve"> of death or need for high flow nasal cannula or greater intervention within 21 days. </w:t>
            </w:r>
            <w:r w:rsidRPr="00551FBC">
              <w:rPr>
                <w:b/>
                <w:bCs/>
              </w:rPr>
              <w:t xml:space="preserve">Independent predictors for our </w:t>
            </w:r>
            <w:r w:rsidR="00736886">
              <w:rPr>
                <w:b/>
                <w:bCs/>
              </w:rPr>
              <w:t>critical</w:t>
            </w:r>
            <w:r w:rsidRPr="00551FBC">
              <w:rPr>
                <w:b/>
                <w:bCs/>
              </w:rPr>
              <w:t xml:space="preserve"> outcome included </w:t>
            </w:r>
            <w:r w:rsidR="00736886">
              <w:rPr>
                <w:b/>
                <w:bCs/>
              </w:rPr>
              <w:t>a history of hypertension (OR = 1.7 [1.0-3.1])</w:t>
            </w:r>
            <w:r w:rsidRPr="00551FBC">
              <w:rPr>
                <w:b/>
                <w:bCs/>
              </w:rPr>
              <w:t>, abnormal CXR</w:t>
            </w:r>
            <w:r w:rsidR="00736886">
              <w:rPr>
                <w:b/>
                <w:bCs/>
              </w:rPr>
              <w:t xml:space="preserve"> (OR = 2.5 [1.2-5.1])</w:t>
            </w:r>
            <w:r w:rsidRPr="00551FBC">
              <w:rPr>
                <w:b/>
                <w:bCs/>
              </w:rPr>
              <w:t>,</w:t>
            </w:r>
            <w:r w:rsidR="00736886">
              <w:rPr>
                <w:b/>
                <w:bCs/>
              </w:rPr>
              <w:t xml:space="preserve"> elevated neutrophil to lymphocyte ratio (OR = 1.7 [1.1-2.7]),</w:t>
            </w:r>
            <w:r w:rsidRPr="00551FBC">
              <w:rPr>
                <w:b/>
                <w:bCs/>
              </w:rPr>
              <w:t xml:space="preserve"> elevated BUN</w:t>
            </w:r>
            <w:r w:rsidR="00736886">
              <w:rPr>
                <w:b/>
                <w:bCs/>
              </w:rPr>
              <w:t xml:space="preserve"> (OR = 3.6 [1.8-7.2])</w:t>
            </w:r>
            <w:r w:rsidRPr="00551FBC">
              <w:rPr>
                <w:b/>
                <w:bCs/>
              </w:rPr>
              <w:t xml:space="preserve">, </w:t>
            </w:r>
            <w:r w:rsidR="00736886">
              <w:rPr>
                <w:b/>
                <w:bCs/>
              </w:rPr>
              <w:t>measured fever (OR = 2.2 [1.3-3.7])</w:t>
            </w:r>
            <w:r w:rsidRPr="00551FBC">
              <w:rPr>
                <w:b/>
                <w:bCs/>
              </w:rPr>
              <w:t>, and abnormal respiratory vital signs</w:t>
            </w:r>
            <w:r w:rsidR="007C3C8B">
              <w:rPr>
                <w:b/>
                <w:bCs/>
              </w:rPr>
              <w:t xml:space="preserve"> (</w:t>
            </w:r>
            <w:r w:rsidR="00736886">
              <w:rPr>
                <w:b/>
                <w:bCs/>
              </w:rPr>
              <w:t>respiratory rate OR = 3.8 [2.0-7.1], oxygen saturation OR = 8.7 [4.4-17.4]).</w:t>
            </w:r>
            <w:r w:rsidR="007C3C8B">
              <w:rPr>
                <w:b/>
                <w:bCs/>
              </w:rPr>
              <w:t xml:space="preserve"> </w:t>
            </w:r>
            <w:r w:rsidR="005065DE">
              <w:rPr>
                <w:b/>
                <w:bCs/>
              </w:rPr>
              <w:t xml:space="preserve"> </w:t>
            </w:r>
          </w:p>
        </w:tc>
      </w:tr>
      <w:tr w:rsidR="0048655A" w:rsidRPr="008A7C90" w14:paraId="62542513" w14:textId="77777777" w:rsidTr="00C73A94">
        <w:trPr>
          <w:trHeight w:val="816"/>
        </w:trPr>
        <w:tc>
          <w:tcPr>
            <w:tcW w:w="1975" w:type="dxa"/>
          </w:tcPr>
          <w:p w14:paraId="38755ADC" w14:textId="52277593" w:rsidR="0048655A" w:rsidRPr="00EF635D" w:rsidRDefault="0048655A" w:rsidP="0048655A">
            <w:pPr>
              <w:spacing w:line="259" w:lineRule="auto"/>
              <w:rPr>
                <w:b/>
                <w:bCs/>
              </w:rPr>
            </w:pPr>
            <w:r w:rsidRPr="00EF635D">
              <w:rPr>
                <w:b/>
                <w:bCs/>
              </w:rPr>
              <w:t>Resulting</w:t>
            </w:r>
            <w:r w:rsidR="00521336">
              <w:rPr>
                <w:b/>
                <w:bCs/>
              </w:rPr>
              <w:t xml:space="preserve"> </w:t>
            </w:r>
            <w:r w:rsidRPr="00EF635D">
              <w:rPr>
                <w:b/>
                <w:bCs/>
              </w:rPr>
              <w:t>Action/Change</w:t>
            </w:r>
          </w:p>
        </w:tc>
        <w:tc>
          <w:tcPr>
            <w:tcW w:w="8730" w:type="dxa"/>
          </w:tcPr>
          <w:p w14:paraId="6676B4CA" w14:textId="77777777" w:rsidR="0048655A" w:rsidRDefault="00720F37" w:rsidP="0048655A">
            <w:pPr>
              <w:spacing w:line="259" w:lineRule="auto"/>
            </w:pPr>
            <w:r w:rsidRPr="007C3C8B">
              <w:t xml:space="preserve">Improved understanding of </w:t>
            </w:r>
            <w:r w:rsidR="00551E69" w:rsidRPr="007C3C8B">
              <w:t>ED characteristics that predict clinical course in COVID-19 patients seen in the ED.</w:t>
            </w:r>
            <w:r w:rsidR="007C3C8B">
              <w:t xml:space="preserve"> This can be used to:</w:t>
            </w:r>
          </w:p>
          <w:p w14:paraId="04D968DA" w14:textId="41D20740" w:rsidR="007C3C8B" w:rsidRDefault="007C3C8B" w:rsidP="007C3C8B">
            <w:pPr>
              <w:pStyle w:val="ListParagraph"/>
              <w:numPr>
                <w:ilvl w:val="0"/>
                <w:numId w:val="2"/>
              </w:numPr>
            </w:pPr>
            <w:r>
              <w:t xml:space="preserve">Identify patients who </w:t>
            </w:r>
            <w:r w:rsidR="00F64D0A">
              <w:t>are not in overt respiratory failure</w:t>
            </w:r>
            <w:r>
              <w:t xml:space="preserve"> who may be at risk for progression</w:t>
            </w:r>
            <w:r w:rsidR="00F64D0A">
              <w:t xml:space="preserve"> to critical disease.</w:t>
            </w:r>
          </w:p>
          <w:p w14:paraId="3CD9327C" w14:textId="31544EE0" w:rsidR="00F64D0A" w:rsidRDefault="00F64D0A" w:rsidP="007C3C8B">
            <w:pPr>
              <w:pStyle w:val="ListParagraph"/>
              <w:numPr>
                <w:ilvl w:val="0"/>
                <w:numId w:val="2"/>
              </w:numPr>
            </w:pPr>
            <w:r>
              <w:t xml:space="preserve">Conversely, it may offer reassurance for patients with </w:t>
            </w:r>
            <w:r w:rsidR="0068008B">
              <w:t>frequently touted</w:t>
            </w:r>
            <w:r>
              <w:t xml:space="preserve"> population level risk factors (</w:t>
            </w:r>
            <w:r w:rsidR="005065DE">
              <w:t>e.g.</w:t>
            </w:r>
            <w:r>
              <w:t xml:space="preserve">, age) who have reassuring clinical evaluations that they are not at significant risk of progression to critical disease. </w:t>
            </w:r>
          </w:p>
          <w:p w14:paraId="75077284" w14:textId="7E730DAD" w:rsidR="00030E1A" w:rsidRDefault="00030E1A" w:rsidP="007C3C8B">
            <w:pPr>
              <w:pStyle w:val="ListParagraph"/>
              <w:numPr>
                <w:ilvl w:val="0"/>
                <w:numId w:val="2"/>
              </w:numPr>
            </w:pPr>
            <w:r>
              <w:t>Could be used when determining monitoring priority and frequency (may increase or decrease perceived risk</w:t>
            </w:r>
            <w:r w:rsidR="00736886">
              <w:t xml:space="preserve"> by population-level factors</w:t>
            </w:r>
            <w:r>
              <w:t xml:space="preserve">). </w:t>
            </w:r>
          </w:p>
          <w:p w14:paraId="092B6F29" w14:textId="30C1CAE2" w:rsidR="00736886" w:rsidRPr="007C3C8B" w:rsidRDefault="00030E1A" w:rsidP="00736886">
            <w:pPr>
              <w:pStyle w:val="ListParagraph"/>
              <w:numPr>
                <w:ilvl w:val="0"/>
                <w:numId w:val="2"/>
              </w:numPr>
            </w:pPr>
            <w:r>
              <w:t xml:space="preserve">Aid in patient </w:t>
            </w:r>
            <w:r w:rsidR="005065DE">
              <w:t xml:space="preserve">/ </w:t>
            </w:r>
            <w:r>
              <w:t xml:space="preserve">caregiver discussions about risk </w:t>
            </w:r>
            <w:r w:rsidR="00736886">
              <w:t>of disease</w:t>
            </w:r>
            <w:r>
              <w:t xml:space="preserve"> progression </w:t>
            </w:r>
          </w:p>
        </w:tc>
      </w:tr>
      <w:tr w:rsidR="00CB0455" w:rsidRPr="008A7C90" w14:paraId="57800790" w14:textId="77777777" w:rsidTr="00C73A94">
        <w:trPr>
          <w:trHeight w:val="816"/>
        </w:trPr>
        <w:tc>
          <w:tcPr>
            <w:tcW w:w="1975" w:type="dxa"/>
          </w:tcPr>
          <w:p w14:paraId="6C4E04AC" w14:textId="161310DB" w:rsidR="00CB0455" w:rsidRPr="00EB0401" w:rsidRDefault="00CB0455" w:rsidP="0048655A">
            <w:r w:rsidRPr="00EB0401">
              <w:t>Additional Recommendations</w:t>
            </w:r>
          </w:p>
        </w:tc>
        <w:tc>
          <w:tcPr>
            <w:tcW w:w="8730" w:type="dxa"/>
          </w:tcPr>
          <w:p w14:paraId="2D86E66D" w14:textId="0CB0BA08" w:rsidR="00C168AB" w:rsidRDefault="00C168AB" w:rsidP="0048655A">
            <w:r>
              <w:t xml:space="preserve">We </w:t>
            </w:r>
            <w:r w:rsidR="00551FBC">
              <w:t>present information to aid in ED-based decision making for COVID-19 care</w:t>
            </w:r>
            <w:r>
              <w:t>; t</w:t>
            </w:r>
            <w:r w:rsidR="00551FBC">
              <w:t xml:space="preserve">his </w:t>
            </w:r>
            <w:r w:rsidR="00F64D0A">
              <w:t xml:space="preserve">data could be used to make a formal </w:t>
            </w:r>
            <w:r w:rsidR="00551FBC">
              <w:t>risk stratification tool</w:t>
            </w:r>
            <w:r>
              <w:t xml:space="preserve"> although the </w:t>
            </w:r>
            <w:r w:rsidR="005065DE">
              <w:t>dynamic</w:t>
            </w:r>
            <w:r>
              <w:t xml:space="preserve"> facility resource </w:t>
            </w:r>
            <w:r w:rsidR="00A33CFE">
              <w:t>fluctuations</w:t>
            </w:r>
            <w:r>
              <w:t xml:space="preserve"> </w:t>
            </w:r>
            <w:proofErr w:type="gramStart"/>
            <w:r>
              <w:t>makes</w:t>
            </w:r>
            <w:proofErr w:type="gramEnd"/>
            <w:r>
              <w:t xml:space="preserve"> that benefit questionable</w:t>
            </w:r>
            <w:r w:rsidR="00551FBC">
              <w:t xml:space="preserve">. </w:t>
            </w:r>
          </w:p>
          <w:p w14:paraId="356DFCC8" w14:textId="77777777" w:rsidR="00C168AB" w:rsidRDefault="00C168AB" w:rsidP="0048655A"/>
          <w:p w14:paraId="08163871" w14:textId="0B973C31" w:rsidR="00CB0455" w:rsidRPr="00EB0401" w:rsidRDefault="00F64D0A" w:rsidP="0048655A">
            <w:r>
              <w:lastRenderedPageBreak/>
              <w:t>Additionally</w:t>
            </w:r>
            <w:r w:rsidR="00030E1A">
              <w:t>,</w:t>
            </w:r>
            <w:r>
              <w:t xml:space="preserve"> </w:t>
            </w:r>
            <w:r w:rsidR="00C168AB">
              <w:t xml:space="preserve">there is early pandemic response data (patient presentation characteristics, </w:t>
            </w:r>
            <w:r w:rsidR="00030E1A">
              <w:t xml:space="preserve">ED treatment patterns, </w:t>
            </w:r>
            <w:r w:rsidR="00C168AB">
              <w:t>RN triage</w:t>
            </w:r>
            <w:r w:rsidR="00030E1A">
              <w:t xml:space="preserve"> information</w:t>
            </w:r>
            <w:r w:rsidR="00C168AB">
              <w:t xml:space="preserve">) that is </w:t>
            </w:r>
            <w:r w:rsidR="00030E1A">
              <w:t xml:space="preserve">valuable </w:t>
            </w:r>
            <w:r w:rsidR="00C168AB">
              <w:t xml:space="preserve">and not captured elsewhere in the literature; this will be meaningful </w:t>
            </w:r>
            <w:r w:rsidR="00030E1A">
              <w:t>in the understanding of the natural course of a pandemic response and in preparing for future events</w:t>
            </w:r>
            <w:r w:rsidR="00C168AB">
              <w:t xml:space="preserve">. </w:t>
            </w:r>
            <w:r>
              <w:t xml:space="preserve"> </w:t>
            </w:r>
          </w:p>
        </w:tc>
      </w:tr>
      <w:tr w:rsidR="0048655A" w:rsidRPr="008A7C90" w14:paraId="21F6FB6D" w14:textId="77777777" w:rsidTr="00C73A94">
        <w:trPr>
          <w:trHeight w:val="552"/>
        </w:trPr>
        <w:tc>
          <w:tcPr>
            <w:tcW w:w="1975" w:type="dxa"/>
          </w:tcPr>
          <w:p w14:paraId="511F380C" w14:textId="77777777" w:rsidR="0048655A" w:rsidRPr="008A7C90" w:rsidRDefault="0048655A" w:rsidP="0048655A">
            <w:pPr>
              <w:spacing w:line="259" w:lineRule="auto"/>
            </w:pPr>
            <w:r w:rsidRPr="008A7C90">
              <w:lastRenderedPageBreak/>
              <w:t>Implementation Tools</w:t>
            </w:r>
            <w:r w:rsidRPr="008A7C90">
              <w:tab/>
            </w:r>
          </w:p>
        </w:tc>
        <w:tc>
          <w:tcPr>
            <w:tcW w:w="8730" w:type="dxa"/>
          </w:tcPr>
          <w:p w14:paraId="35B5FEA6" w14:textId="6ECC7EBB" w:rsidR="0048655A" w:rsidRPr="008A7C90" w:rsidRDefault="00720F37" w:rsidP="0048655A">
            <w:pPr>
              <w:spacing w:line="259" w:lineRule="auto"/>
            </w:pPr>
            <w:r>
              <w:t>Publication.</w:t>
            </w:r>
            <w:r w:rsidR="00F64D0A">
              <w:t xml:space="preserve"> Dissemination of findings. </w:t>
            </w:r>
          </w:p>
        </w:tc>
      </w:tr>
      <w:tr w:rsidR="0048655A" w:rsidRPr="008A7C90" w14:paraId="02D4678D" w14:textId="77777777" w:rsidTr="00C73A94">
        <w:trPr>
          <w:trHeight w:val="552"/>
        </w:trPr>
        <w:tc>
          <w:tcPr>
            <w:tcW w:w="1975" w:type="dxa"/>
          </w:tcPr>
          <w:p w14:paraId="1B184543" w14:textId="77777777" w:rsidR="0048655A" w:rsidRPr="008A7C90" w:rsidRDefault="0048655A" w:rsidP="0048655A">
            <w:pPr>
              <w:spacing w:line="259" w:lineRule="auto"/>
            </w:pPr>
            <w:r w:rsidRPr="008A7C90">
              <w:t>Implementation Measurement</w:t>
            </w:r>
          </w:p>
        </w:tc>
        <w:tc>
          <w:tcPr>
            <w:tcW w:w="8730" w:type="dxa"/>
          </w:tcPr>
          <w:p w14:paraId="0D25EBD1" w14:textId="75FF1716" w:rsidR="0048655A" w:rsidRPr="008A7C90" w:rsidRDefault="00F64D0A" w:rsidP="0048655A">
            <w:pPr>
              <w:spacing w:line="259" w:lineRule="auto"/>
            </w:pPr>
            <w:r>
              <w:t xml:space="preserve">Information gained from this is broad and COVID-19’s impact varies significantly with time and facility; specific implementation measurements are not apparent. </w:t>
            </w:r>
          </w:p>
        </w:tc>
      </w:tr>
      <w:tr w:rsidR="0048655A" w:rsidRPr="008A7C90" w14:paraId="66558595" w14:textId="77777777" w:rsidTr="00C73A94">
        <w:trPr>
          <w:trHeight w:val="538"/>
        </w:trPr>
        <w:tc>
          <w:tcPr>
            <w:tcW w:w="1975" w:type="dxa"/>
          </w:tcPr>
          <w:p w14:paraId="29954FA9" w14:textId="77777777" w:rsidR="0048655A" w:rsidRPr="008A7C90" w:rsidRDefault="0048655A" w:rsidP="0048655A">
            <w:pPr>
              <w:spacing w:line="259" w:lineRule="auto"/>
            </w:pPr>
            <w:r w:rsidRPr="008A7C90">
              <w:t>Reference</w:t>
            </w:r>
          </w:p>
        </w:tc>
        <w:tc>
          <w:tcPr>
            <w:tcW w:w="8730" w:type="dxa"/>
          </w:tcPr>
          <w:p w14:paraId="6ADC22F6" w14:textId="44669313" w:rsidR="00F64D0A" w:rsidRDefault="00F64D0A" w:rsidP="00F64D0A">
            <w:pPr>
              <w:spacing w:before="100" w:beforeAutospacing="1" w:after="100" w:afterAutospacing="1"/>
            </w:pPr>
            <w:r>
              <w:t>Cotton DM, Liu L, Vinson DR</w:t>
            </w:r>
            <w:r w:rsidR="00C168AB">
              <w:t xml:space="preserve">, et al., </w:t>
            </w:r>
            <w:r>
              <w:t xml:space="preserve">Clinical characteristics of COVID-19 patients evaluated in the emergency department: a retrospective cohort study of 801 cases. </w:t>
            </w:r>
            <w:r w:rsidR="00C168AB">
              <w:rPr>
                <w:i/>
                <w:iCs/>
              </w:rPr>
              <w:t>JACEP Open</w:t>
            </w:r>
            <w:r>
              <w:t>. 2021;</w:t>
            </w:r>
            <w:proofErr w:type="gramStart"/>
            <w:r>
              <w:t>2:e</w:t>
            </w:r>
            <w:proofErr w:type="gramEnd"/>
            <w:r>
              <w:t xml:space="preserve">12538. </w:t>
            </w:r>
          </w:p>
          <w:p w14:paraId="722DE921" w14:textId="455FAF77" w:rsidR="0048655A" w:rsidRPr="008A7C90" w:rsidRDefault="00A33CFE" w:rsidP="00F64D0A">
            <w:pPr>
              <w:spacing w:before="100" w:beforeAutospacing="1" w:after="100" w:afterAutospacing="1"/>
            </w:pPr>
            <w:hyperlink r:id="rId8" w:history="1">
              <w:r w:rsidR="00F64D0A" w:rsidRPr="00967C1C">
                <w:rPr>
                  <w:rStyle w:val="Hyperlink"/>
                </w:rPr>
                <w:t>http://doi.org/10.1002/emp2.12538</w:t>
              </w:r>
            </w:hyperlink>
          </w:p>
        </w:tc>
      </w:tr>
      <w:bookmarkEnd w:id="0"/>
    </w:tbl>
    <w:p w14:paraId="5372FC51" w14:textId="687C6BBA" w:rsidR="00521336" w:rsidRDefault="00521336" w:rsidP="00C73A94">
      <w:pPr>
        <w:spacing w:after="0"/>
      </w:pPr>
    </w:p>
    <w:p w14:paraId="083DA7DA" w14:textId="0ED7C3DC" w:rsidR="00A33CFE" w:rsidRPr="00A33CFE" w:rsidRDefault="00A33CFE" w:rsidP="00A33CFE"/>
    <w:p w14:paraId="068177B0" w14:textId="2FD94739" w:rsidR="00A33CFE" w:rsidRPr="00A33CFE" w:rsidRDefault="00A33CFE" w:rsidP="00A33CFE"/>
    <w:p w14:paraId="3D8E1698" w14:textId="0F05AA9A" w:rsidR="00A33CFE" w:rsidRPr="00A33CFE" w:rsidRDefault="00A33CFE" w:rsidP="00A33CFE"/>
    <w:p w14:paraId="676E8034" w14:textId="153935D1" w:rsidR="00A33CFE" w:rsidRPr="00A33CFE" w:rsidRDefault="00A33CFE" w:rsidP="00A33CFE"/>
    <w:p w14:paraId="4ED24E1E" w14:textId="750BC1C4" w:rsidR="00A33CFE" w:rsidRDefault="00A33CFE" w:rsidP="00A33CFE"/>
    <w:p w14:paraId="5F15797B" w14:textId="77777777" w:rsidR="00A33CFE" w:rsidRPr="00A33CFE" w:rsidRDefault="00A33CFE" w:rsidP="00A33CFE"/>
    <w:sectPr w:rsidR="00A33CFE" w:rsidRPr="00A33CFE" w:rsidSect="00D245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01461C"/>
    <w:multiLevelType w:val="hybridMultilevel"/>
    <w:tmpl w:val="BC4C2C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046995"/>
    <w:multiLevelType w:val="hybridMultilevel"/>
    <w:tmpl w:val="543AAF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90"/>
    <w:rsid w:val="00030E1A"/>
    <w:rsid w:val="000811DB"/>
    <w:rsid w:val="001D52BB"/>
    <w:rsid w:val="001E348B"/>
    <w:rsid w:val="002A1A00"/>
    <w:rsid w:val="0031051B"/>
    <w:rsid w:val="003277D0"/>
    <w:rsid w:val="003C74D4"/>
    <w:rsid w:val="003D755D"/>
    <w:rsid w:val="003E27D1"/>
    <w:rsid w:val="003E34C5"/>
    <w:rsid w:val="0048655A"/>
    <w:rsid w:val="005065DE"/>
    <w:rsid w:val="00514319"/>
    <w:rsid w:val="00521336"/>
    <w:rsid w:val="00551E69"/>
    <w:rsid w:val="00551FBC"/>
    <w:rsid w:val="0068008B"/>
    <w:rsid w:val="006D32D2"/>
    <w:rsid w:val="00720F37"/>
    <w:rsid w:val="0072563B"/>
    <w:rsid w:val="00736886"/>
    <w:rsid w:val="00777238"/>
    <w:rsid w:val="007C3C8B"/>
    <w:rsid w:val="008131C8"/>
    <w:rsid w:val="008A7C90"/>
    <w:rsid w:val="009001F2"/>
    <w:rsid w:val="00933309"/>
    <w:rsid w:val="00A16BB1"/>
    <w:rsid w:val="00A33CFE"/>
    <w:rsid w:val="00B90133"/>
    <w:rsid w:val="00C168AB"/>
    <w:rsid w:val="00C3487D"/>
    <w:rsid w:val="00C4025A"/>
    <w:rsid w:val="00C73A94"/>
    <w:rsid w:val="00CB0455"/>
    <w:rsid w:val="00CF4301"/>
    <w:rsid w:val="00D003F1"/>
    <w:rsid w:val="00D24534"/>
    <w:rsid w:val="00E6593E"/>
    <w:rsid w:val="00EB0401"/>
    <w:rsid w:val="00EF635D"/>
    <w:rsid w:val="00F430F5"/>
    <w:rsid w:val="00F64D0A"/>
    <w:rsid w:val="00FD5025"/>
    <w:rsid w:val="00FE6194"/>
    <w:rsid w:val="0B4BE6C0"/>
    <w:rsid w:val="1A557A28"/>
    <w:rsid w:val="30BD5087"/>
    <w:rsid w:val="4E55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87FD"/>
  <w15:chartTrackingRefBased/>
  <w15:docId w15:val="{9FC22822-AC04-437A-95FB-02AB679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C90"/>
  </w:style>
  <w:style w:type="paragraph" w:styleId="Heading1">
    <w:name w:val="heading 1"/>
    <w:basedOn w:val="Normal"/>
    <w:next w:val="Normal"/>
    <w:link w:val="Heading1Char"/>
    <w:uiPriority w:val="9"/>
    <w:qFormat/>
    <w:rsid w:val="008A7C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C9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A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7C90"/>
    <w:rPr>
      <w:color w:val="0563C1" w:themeColor="hyperlink"/>
      <w:u w:val="single"/>
    </w:rPr>
  </w:style>
  <w:style w:type="character" w:styleId="UnresolvedMention">
    <w:name w:val="Unresolved Mention"/>
    <w:basedOn w:val="DefaultParagraphFont"/>
    <w:uiPriority w:val="99"/>
    <w:semiHidden/>
    <w:unhideWhenUsed/>
    <w:rsid w:val="008A7C90"/>
    <w:rPr>
      <w:color w:val="605E5C"/>
      <w:shd w:val="clear" w:color="auto" w:fill="E1DFDD"/>
    </w:rPr>
  </w:style>
  <w:style w:type="paragraph" w:styleId="ListParagraph">
    <w:name w:val="List Paragraph"/>
    <w:basedOn w:val="Normal"/>
    <w:uiPriority w:val="34"/>
    <w:qFormat/>
    <w:rsid w:val="00FD5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883473">
      <w:bodyDiv w:val="1"/>
      <w:marLeft w:val="0"/>
      <w:marRight w:val="0"/>
      <w:marTop w:val="0"/>
      <w:marBottom w:val="0"/>
      <w:divBdr>
        <w:top w:val="none" w:sz="0" w:space="0" w:color="auto"/>
        <w:left w:val="none" w:sz="0" w:space="0" w:color="auto"/>
        <w:bottom w:val="none" w:sz="0" w:space="0" w:color="auto"/>
        <w:right w:val="none" w:sz="0" w:space="0" w:color="auto"/>
      </w:divBdr>
    </w:div>
    <w:div w:id="143840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002/emp2.12538"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8ED332-8295-474D-8F97-9B1A13408232}"/>
</file>

<file path=customXml/itemProps2.xml><?xml version="1.0" encoding="utf-8"?>
<ds:datastoreItem xmlns:ds="http://schemas.openxmlformats.org/officeDocument/2006/customXml" ds:itemID="{422B8E45-4B7B-44CA-883D-6EABF409C33D}"/>
</file>

<file path=customXml/itemProps3.xml><?xml version="1.0" encoding="utf-8"?>
<ds:datastoreItem xmlns:ds="http://schemas.openxmlformats.org/officeDocument/2006/customXml" ds:itemID="{AC888A28-5B10-48BE-B8D6-480C75C53C84}"/>
</file>

<file path=docProps/app.xml><?xml version="1.0" encoding="utf-8"?>
<Properties xmlns="http://schemas.openxmlformats.org/officeDocument/2006/extended-properties" xmlns:vt="http://schemas.openxmlformats.org/officeDocument/2006/docPropsVTypes">
  <Template>Normal</Template>
  <TotalTime>11</TotalTime>
  <Pages>1</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E Parker</dc:creator>
  <cp:keywords/>
  <dc:description/>
  <cp:lastModifiedBy>Dale M Cotton</cp:lastModifiedBy>
  <cp:revision>6</cp:revision>
  <dcterms:created xsi:type="dcterms:W3CDTF">2021-08-25T16:35:00Z</dcterms:created>
  <dcterms:modified xsi:type="dcterms:W3CDTF">2021-08-25T16:41:00Z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ies>
</file>