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12DC" w14:textId="752248BC" w:rsidR="1A557A28" w:rsidRDefault="008325AE" w:rsidP="4E551E08">
      <w:pPr>
        <w:rPr>
          <w:rFonts w:ascii="Calibri" w:eastAsia="Calibri" w:hAnsi="Calibri" w:cs="Calibri"/>
          <w:color w:val="4472C4" w:themeColor="accent1"/>
          <w:sz w:val="28"/>
          <w:szCs w:val="28"/>
        </w:rPr>
      </w:pPr>
      <w:r>
        <w:rPr>
          <w:rFonts w:ascii="Calibri" w:eastAsia="Calibri" w:hAnsi="Calibri" w:cs="Calibri"/>
          <w:color w:val="4472C4" w:themeColor="accent1"/>
          <w:sz w:val="28"/>
          <w:szCs w:val="28"/>
        </w:rPr>
        <w:t>Identifying optimal strategies for improving Human Papilloma Virus immunization rates in young-adult KPNC members</w:t>
      </w:r>
    </w:p>
    <w:p w14:paraId="7FCD574A" w14:textId="746EA6AD" w:rsidR="008A7C90" w:rsidRDefault="008325AE" w:rsidP="00D24534">
      <w:pPr>
        <w:spacing w:after="0"/>
      </w:pPr>
      <w:r>
        <w:t>Kevin Wang, M.D.</w:t>
      </w:r>
      <w:r w:rsidR="009D6EFA">
        <w:t>;</w:t>
      </w:r>
      <w:r>
        <w:t xml:space="preserve"> Janet Lai, M.D.</w:t>
      </w:r>
      <w:r w:rsidR="009D6EFA">
        <w:t>; Nicole Tran, M.D.; Adnan Khan, M.D.; Juliane Lee; Abigail Eaton, Ph.D.; Andrew L Avins, M.D.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48655A" w:rsidRPr="008A7C90" w14:paraId="307289BF" w14:textId="77777777" w:rsidTr="00C73A94">
        <w:trPr>
          <w:trHeight w:val="816"/>
        </w:trPr>
        <w:tc>
          <w:tcPr>
            <w:tcW w:w="1975" w:type="dxa"/>
          </w:tcPr>
          <w:p w14:paraId="2C7E2D09" w14:textId="77777777" w:rsidR="0048655A" w:rsidRPr="008A7C90" w:rsidRDefault="0048655A" w:rsidP="0048655A">
            <w:pPr>
              <w:spacing w:line="259" w:lineRule="auto"/>
            </w:pPr>
            <w:bookmarkStart w:id="0" w:name="_Hlk54105970"/>
            <w:r w:rsidRPr="008A7C90">
              <w:t>Challenge</w:t>
            </w:r>
          </w:p>
        </w:tc>
        <w:tc>
          <w:tcPr>
            <w:tcW w:w="8730" w:type="dxa"/>
          </w:tcPr>
          <w:p w14:paraId="7F9273D4" w14:textId="26320B50" w:rsidR="0048655A" w:rsidRPr="0031051B" w:rsidRDefault="00E10D28" w:rsidP="00E10D28">
            <w:pPr>
              <w:spacing w:line="259" w:lineRule="auto"/>
              <w:rPr>
                <w:b/>
                <w:bCs/>
              </w:rPr>
            </w:pPr>
            <w:r w:rsidRPr="00E10D28">
              <w:rPr>
                <w:b/>
                <w:bCs/>
              </w:rPr>
              <w:t>According to the CDC, 34,800 women and men are diagnosed with a</w:t>
            </w:r>
            <w:r>
              <w:rPr>
                <w:b/>
                <w:bCs/>
              </w:rPr>
              <w:t>n HPV-related</w:t>
            </w:r>
            <w:r w:rsidRPr="00E10D28">
              <w:rPr>
                <w:b/>
                <w:bCs/>
              </w:rPr>
              <w:t xml:space="preserve"> cancer annually. Though HPV vaccination could prevent </w:t>
            </w:r>
            <w:r>
              <w:rPr>
                <w:b/>
                <w:bCs/>
              </w:rPr>
              <w:t>&gt;</w:t>
            </w:r>
            <w:r w:rsidRPr="00E10D28">
              <w:rPr>
                <w:b/>
                <w:bCs/>
              </w:rPr>
              <w:t>90% of HPV</w:t>
            </w:r>
            <w:r w:rsidR="002F7D43">
              <w:rPr>
                <w:b/>
                <w:bCs/>
              </w:rPr>
              <w:t>-related</w:t>
            </w:r>
            <w:r w:rsidRPr="00E10D28">
              <w:rPr>
                <w:b/>
                <w:bCs/>
              </w:rPr>
              <w:t xml:space="preserve"> cancers, current KPNC HPV immunization rates for </w:t>
            </w:r>
            <w:proofErr w:type="gramStart"/>
            <w:r w:rsidRPr="00E10D28">
              <w:rPr>
                <w:b/>
                <w:bCs/>
              </w:rPr>
              <w:t>13 year-old's</w:t>
            </w:r>
            <w:proofErr w:type="gramEnd"/>
            <w:r w:rsidRPr="00E10D28">
              <w:rPr>
                <w:b/>
                <w:bCs/>
              </w:rPr>
              <w:t xml:space="preserve"> (a HEDIS metric) is ~50%</w:t>
            </w:r>
            <w:r w:rsidR="002F7D43">
              <w:rPr>
                <w:b/>
                <w:bCs/>
              </w:rPr>
              <w:t xml:space="preserve"> and </w:t>
            </w:r>
            <w:r w:rsidRPr="00E10D28">
              <w:rPr>
                <w:b/>
                <w:bCs/>
              </w:rPr>
              <w:t>the rates are far lower for older teens and young adults: ~24% for males and ~45% for females aged 18-26.</w:t>
            </w:r>
            <w:r w:rsidR="0048655A" w:rsidRPr="0031051B">
              <w:rPr>
                <w:b/>
                <w:bCs/>
              </w:rPr>
              <w:t xml:space="preserve"> </w:t>
            </w:r>
          </w:p>
        </w:tc>
      </w:tr>
      <w:tr w:rsidR="0048655A" w:rsidRPr="008A7C90" w14:paraId="67D435C8" w14:textId="77777777" w:rsidTr="00C73A94">
        <w:trPr>
          <w:trHeight w:val="1091"/>
        </w:trPr>
        <w:tc>
          <w:tcPr>
            <w:tcW w:w="1975" w:type="dxa"/>
          </w:tcPr>
          <w:p w14:paraId="351B366F" w14:textId="77777777" w:rsidR="0048655A" w:rsidRPr="008A7C90" w:rsidRDefault="0048655A" w:rsidP="0048655A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</w:tcPr>
          <w:p w14:paraId="70041630" w14:textId="4D61BDEA" w:rsidR="0048655A" w:rsidRPr="008A7C90" w:rsidRDefault="00CD16DD" w:rsidP="00CD16DD">
            <w:r>
              <w:t xml:space="preserve">Numerous initiatives have been attempted for improving HPV vaccination rates among a variety of populations, with generally only very modest success. Knowledge gaps still exist for the evaluation of specific initiatives aimed at young adults to increase awareness and uptake of the </w:t>
            </w:r>
            <w:r w:rsidR="002F7D43">
              <w:t xml:space="preserve">HPV </w:t>
            </w:r>
            <w:r>
              <w:t>vaccine. Understanding</w:t>
            </w:r>
            <w:r w:rsidR="002F7D43">
              <w:t xml:space="preserve"> the relative performance of alternative strategies to promote HPV immunization in this population</w:t>
            </w:r>
            <w:r>
              <w:t xml:space="preserve"> will be crucial to improving HPV immunization rates. </w:t>
            </w:r>
            <w:r w:rsidR="00464BCB">
              <w:t xml:space="preserve">The RAU makes possible formal rapid-cycle testing </w:t>
            </w:r>
            <w:r w:rsidR="00AD48B5">
              <w:t>of alternative approaches for care delivery</w:t>
            </w:r>
            <w:r w:rsidR="000D721E">
              <w:t>, consistent with the Learning Healthcare System.</w:t>
            </w:r>
          </w:p>
        </w:tc>
      </w:tr>
      <w:tr w:rsidR="0048655A" w:rsidRPr="008A7C90" w14:paraId="136E6453" w14:textId="77777777" w:rsidTr="00C73A94">
        <w:trPr>
          <w:trHeight w:val="262"/>
        </w:trPr>
        <w:tc>
          <w:tcPr>
            <w:tcW w:w="1975" w:type="dxa"/>
          </w:tcPr>
          <w:p w14:paraId="53202DB8" w14:textId="77777777" w:rsidR="0048655A" w:rsidRPr="008A7C90" w:rsidRDefault="0048655A" w:rsidP="0048655A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</w:tcPr>
          <w:p w14:paraId="1486D38C" w14:textId="241653DB" w:rsidR="0048655A" w:rsidRPr="008A7C90" w:rsidRDefault="00FD6F44" w:rsidP="0048655A">
            <w:pPr>
              <w:spacing w:line="259" w:lineRule="auto"/>
            </w:pPr>
            <w:r>
              <w:t>Young adult KPNC members (aged 18-26)</w:t>
            </w:r>
          </w:p>
        </w:tc>
      </w:tr>
      <w:tr w:rsidR="0048655A" w:rsidRPr="008A7C90" w14:paraId="5B80BED5" w14:textId="77777777" w:rsidTr="00C73A94">
        <w:trPr>
          <w:trHeight w:val="276"/>
        </w:trPr>
        <w:tc>
          <w:tcPr>
            <w:tcW w:w="1975" w:type="dxa"/>
          </w:tcPr>
          <w:p w14:paraId="0D0B7C0D" w14:textId="77777777" w:rsidR="0048655A" w:rsidRPr="008A7C90" w:rsidRDefault="0048655A" w:rsidP="0048655A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</w:tcPr>
          <w:p w14:paraId="0CA2C589" w14:textId="07C5646B" w:rsidR="0048655A" w:rsidRPr="008A7C90" w:rsidRDefault="00FD6F44" w:rsidP="0048655A">
            <w:pPr>
              <w:spacing w:line="259" w:lineRule="auto"/>
            </w:pPr>
            <w:r>
              <w:t>Alternative methods for improving uptake of HPV vaccine</w:t>
            </w:r>
            <w:r w:rsidR="00B957C7">
              <w:t xml:space="preserve"> (a secure message from KPNC, a secure message from a PCP, or a mailed letter from a PCP</w:t>
            </w:r>
            <w:r w:rsidR="001B69B7">
              <w:t xml:space="preserve">); these </w:t>
            </w:r>
            <w:r w:rsidR="00464BCB">
              <w:t xml:space="preserve">strategies </w:t>
            </w:r>
            <w:r w:rsidR="001B69B7">
              <w:t xml:space="preserve">will be compared with a randomized controlled trial with the endpoint of HPV immunization rates over </w:t>
            </w:r>
            <w:r w:rsidR="00AD48B5">
              <w:t>3</w:t>
            </w:r>
            <w:r w:rsidR="001B69B7">
              <w:t xml:space="preserve"> months</w:t>
            </w:r>
          </w:p>
        </w:tc>
      </w:tr>
      <w:tr w:rsidR="0048655A" w:rsidRPr="008A7C90" w14:paraId="13978FD3" w14:textId="77777777" w:rsidTr="00C73A94">
        <w:trPr>
          <w:trHeight w:val="2282"/>
        </w:trPr>
        <w:tc>
          <w:tcPr>
            <w:tcW w:w="1975" w:type="dxa"/>
          </w:tcPr>
          <w:p w14:paraId="7525D5B4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3CD35CB0" w14:textId="76E7AA39" w:rsidR="0048655A" w:rsidRPr="00CF1DBB" w:rsidRDefault="003C1EC0" w:rsidP="0031051B">
            <w:pPr>
              <w:spacing w:line="259" w:lineRule="auto"/>
              <w:rPr>
                <w:b/>
                <w:bCs/>
              </w:rPr>
            </w:pPr>
            <w:r w:rsidRPr="005A3F27">
              <w:t>We conducted a randomized trial of the three notification strategies</w:t>
            </w:r>
            <w:r w:rsidR="00D8260B" w:rsidRPr="005A3F27">
              <w:t xml:space="preserve">, randomizing </w:t>
            </w:r>
            <w:r w:rsidR="00CB299D" w:rsidRPr="005A3F27">
              <w:t>7,718 young adults. After 3 months, 86 patients (3.5%) who received no additional outreach obtained an immunization, compared with 114 (4.6%) who received the second secure message (p=0.05) and 126 (5.1%) who received the mailed letter (p=0.006).</w:t>
            </w:r>
            <w:r w:rsidRPr="005A3F27">
              <w:t xml:space="preserve"> </w:t>
            </w:r>
            <w:r w:rsidR="00F34F72" w:rsidRPr="005A3F27">
              <w:t xml:space="preserve">We concluded that none of these strategies showed sufficient success to recommend; in particular, more expensive strategies </w:t>
            </w:r>
            <w:r w:rsidR="005A3F27" w:rsidRPr="005A3F27">
              <w:t>such as hard-copy USPS mailings did not perform sufficiently well to justify their costs.</w:t>
            </w:r>
            <w:r w:rsidR="00CF1DBB">
              <w:t xml:space="preserve"> </w:t>
            </w:r>
            <w:proofErr w:type="gramStart"/>
            <w:r w:rsidR="00CF1DBB">
              <w:t>However,  the</w:t>
            </w:r>
            <w:proofErr w:type="gramEnd"/>
            <w:r w:rsidR="00CF1DBB">
              <w:t xml:space="preserve"> successful conduct of this rapid-cycle, randomized trial showed that such evaluations are feasible, providing actionable data to inform implementation strategies.</w:t>
            </w:r>
          </w:p>
        </w:tc>
      </w:tr>
      <w:tr w:rsidR="0048655A" w:rsidRPr="008A7C90" w14:paraId="62542513" w14:textId="77777777" w:rsidTr="00C73A94">
        <w:trPr>
          <w:trHeight w:val="816"/>
        </w:trPr>
        <w:tc>
          <w:tcPr>
            <w:tcW w:w="1975" w:type="dxa"/>
          </w:tcPr>
          <w:p w14:paraId="38755ADC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092B6F29" w14:textId="2A5101D8" w:rsidR="0048655A" w:rsidRPr="00753956" w:rsidRDefault="005A3F27" w:rsidP="0048655A">
            <w:pPr>
              <w:spacing w:line="259" w:lineRule="auto"/>
            </w:pPr>
            <w:r w:rsidRPr="00753956">
              <w:t>More study is needed to identify better recruitment strategies for prevention efforts in this population. Standard notification methods</w:t>
            </w:r>
            <w:r w:rsidR="00753956" w:rsidRPr="00753956">
              <w:t xml:space="preserve"> do not appear promising.</w:t>
            </w:r>
          </w:p>
        </w:tc>
      </w:tr>
      <w:tr w:rsidR="00CB0455" w:rsidRPr="008A7C90" w14:paraId="57800790" w14:textId="77777777" w:rsidTr="00C73A94">
        <w:trPr>
          <w:trHeight w:val="816"/>
        </w:trPr>
        <w:tc>
          <w:tcPr>
            <w:tcW w:w="1975" w:type="dxa"/>
          </w:tcPr>
          <w:p w14:paraId="6C4E04AC" w14:textId="161310DB" w:rsidR="00CB0455" w:rsidRPr="00EB0401" w:rsidRDefault="00CB0455" w:rsidP="0048655A">
            <w:r w:rsidRPr="00EB0401">
              <w:t>Additional Recommendations</w:t>
            </w:r>
          </w:p>
        </w:tc>
        <w:tc>
          <w:tcPr>
            <w:tcW w:w="8730" w:type="dxa"/>
          </w:tcPr>
          <w:p w14:paraId="08163871" w14:textId="78A19838" w:rsidR="00CB0455" w:rsidRPr="00EB0401" w:rsidRDefault="00753956" w:rsidP="0048655A">
            <w:r>
              <w:t xml:space="preserve">Further trials of alternative strategies and </w:t>
            </w:r>
            <w:r w:rsidR="00AD48B5">
              <w:t xml:space="preserve">more research to gain </w:t>
            </w:r>
            <w:r>
              <w:t xml:space="preserve">better </w:t>
            </w:r>
            <w:r w:rsidR="00D44C69">
              <w:t>insights into how to motivate this important but difficult population.</w:t>
            </w:r>
          </w:p>
        </w:tc>
      </w:tr>
      <w:tr w:rsidR="0048655A" w:rsidRPr="008A7C90" w14:paraId="21F6FB6D" w14:textId="77777777" w:rsidTr="00C73A94">
        <w:trPr>
          <w:trHeight w:val="552"/>
        </w:trPr>
        <w:tc>
          <w:tcPr>
            <w:tcW w:w="1975" w:type="dxa"/>
          </w:tcPr>
          <w:p w14:paraId="511F380C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</w:tcPr>
          <w:p w14:paraId="35B5FEA6" w14:textId="381D4522" w:rsidR="0048655A" w:rsidRPr="008A7C90" w:rsidRDefault="003B0725" w:rsidP="0048655A">
            <w:pPr>
              <w:spacing w:line="259" w:lineRule="auto"/>
            </w:pPr>
            <w:r>
              <w:t xml:space="preserve">None </w:t>
            </w:r>
            <w:proofErr w:type="gramStart"/>
            <w:r>
              <w:t>at this time</w:t>
            </w:r>
            <w:proofErr w:type="gramEnd"/>
            <w:r>
              <w:t>.</w:t>
            </w:r>
          </w:p>
        </w:tc>
      </w:tr>
      <w:tr w:rsidR="0048655A" w:rsidRPr="008A7C90" w14:paraId="02D4678D" w14:textId="77777777" w:rsidTr="00C73A94">
        <w:trPr>
          <w:trHeight w:val="552"/>
        </w:trPr>
        <w:tc>
          <w:tcPr>
            <w:tcW w:w="1975" w:type="dxa"/>
          </w:tcPr>
          <w:p w14:paraId="1B184543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</w:tcPr>
          <w:p w14:paraId="0D25EBD1" w14:textId="05031872" w:rsidR="0048655A" w:rsidRPr="008A7C90" w:rsidRDefault="003B0725" w:rsidP="0048655A">
            <w:pPr>
              <w:spacing w:line="259" w:lineRule="auto"/>
            </w:pPr>
            <w:r>
              <w:t xml:space="preserve">None </w:t>
            </w:r>
            <w:proofErr w:type="gramStart"/>
            <w:r>
              <w:t>at this time</w:t>
            </w:r>
            <w:proofErr w:type="gramEnd"/>
            <w:r>
              <w:t>.</w:t>
            </w:r>
          </w:p>
        </w:tc>
      </w:tr>
      <w:tr w:rsidR="0048655A" w:rsidRPr="008A7C90" w14:paraId="66558595" w14:textId="77777777" w:rsidTr="00C73A94">
        <w:trPr>
          <w:trHeight w:val="538"/>
        </w:trPr>
        <w:tc>
          <w:tcPr>
            <w:tcW w:w="1975" w:type="dxa"/>
          </w:tcPr>
          <w:p w14:paraId="29954FA9" w14:textId="77777777" w:rsidR="0048655A" w:rsidRPr="008A7C90" w:rsidRDefault="0048655A" w:rsidP="0048655A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0" w:type="dxa"/>
          </w:tcPr>
          <w:p w14:paraId="722DE921" w14:textId="1D800694" w:rsidR="0048655A" w:rsidRPr="008A7C90" w:rsidRDefault="003B0725" w:rsidP="003B0725">
            <w:pPr>
              <w:spacing w:line="259" w:lineRule="auto"/>
            </w:pPr>
            <w:r>
              <w:t>Pending</w:t>
            </w:r>
            <w:r w:rsidR="002F7D43">
              <w:t xml:space="preserve"> (manuscript submitted)</w:t>
            </w:r>
          </w:p>
        </w:tc>
      </w:tr>
      <w:bookmarkEnd w:id="0"/>
    </w:tbl>
    <w:p w14:paraId="62800767" w14:textId="77777777" w:rsidR="00FE6194" w:rsidRDefault="00FE6194" w:rsidP="00C73A94">
      <w:pPr>
        <w:spacing w:after="0"/>
      </w:pPr>
    </w:p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0D721E"/>
    <w:rsid w:val="001B69B7"/>
    <w:rsid w:val="001D52BB"/>
    <w:rsid w:val="001E348B"/>
    <w:rsid w:val="002A1A00"/>
    <w:rsid w:val="002F7D43"/>
    <w:rsid w:val="0031051B"/>
    <w:rsid w:val="0036723E"/>
    <w:rsid w:val="003B0725"/>
    <w:rsid w:val="003C1EC0"/>
    <w:rsid w:val="003D755D"/>
    <w:rsid w:val="003E27D1"/>
    <w:rsid w:val="003E34C5"/>
    <w:rsid w:val="003E4519"/>
    <w:rsid w:val="00464BCB"/>
    <w:rsid w:val="004832ED"/>
    <w:rsid w:val="0048655A"/>
    <w:rsid w:val="00514319"/>
    <w:rsid w:val="005A3F27"/>
    <w:rsid w:val="006D32D2"/>
    <w:rsid w:val="0072563B"/>
    <w:rsid w:val="00753956"/>
    <w:rsid w:val="00777238"/>
    <w:rsid w:val="007F0BC8"/>
    <w:rsid w:val="008131C8"/>
    <w:rsid w:val="008325AE"/>
    <w:rsid w:val="008A7C90"/>
    <w:rsid w:val="009001F2"/>
    <w:rsid w:val="00933309"/>
    <w:rsid w:val="009D6EFA"/>
    <w:rsid w:val="00A16BB1"/>
    <w:rsid w:val="00AD48B5"/>
    <w:rsid w:val="00B957C7"/>
    <w:rsid w:val="00C3487D"/>
    <w:rsid w:val="00C4025A"/>
    <w:rsid w:val="00C42DD8"/>
    <w:rsid w:val="00C73A94"/>
    <w:rsid w:val="00CB0455"/>
    <w:rsid w:val="00CB299D"/>
    <w:rsid w:val="00CD16DD"/>
    <w:rsid w:val="00CF1DBB"/>
    <w:rsid w:val="00CF4301"/>
    <w:rsid w:val="00D003F1"/>
    <w:rsid w:val="00D24534"/>
    <w:rsid w:val="00D44C69"/>
    <w:rsid w:val="00D8260B"/>
    <w:rsid w:val="00E10D28"/>
    <w:rsid w:val="00E16F11"/>
    <w:rsid w:val="00EB0401"/>
    <w:rsid w:val="00EF635D"/>
    <w:rsid w:val="00F34F72"/>
    <w:rsid w:val="00FD6F44"/>
    <w:rsid w:val="00FE6194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C9C5EA-2587-4F6F-9DED-4DBE92B7C9E1}"/>
</file>

<file path=customXml/itemProps2.xml><?xml version="1.0" encoding="utf-8"?>
<ds:datastoreItem xmlns:ds="http://schemas.openxmlformats.org/officeDocument/2006/customXml" ds:itemID="{422B8E45-4B7B-44CA-883D-6EABF409C33D}"/>
</file>

<file path=customXml/itemProps3.xml><?xml version="1.0" encoding="utf-8"?>
<ds:datastoreItem xmlns:ds="http://schemas.openxmlformats.org/officeDocument/2006/customXml" ds:itemID="{AC888A28-5B10-48BE-B8D6-480C75C53C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Andrew L Avins</cp:lastModifiedBy>
  <cp:revision>5</cp:revision>
  <dcterms:created xsi:type="dcterms:W3CDTF">2022-06-28T19:19:00Z</dcterms:created>
  <dcterms:modified xsi:type="dcterms:W3CDTF">2022-06-29T05:07:00Z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