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1A557A28" w:rsidP="4E551E08" w:rsidRDefault="00360F47" w14:paraId="122812DC" w14:textId="5A07A3E1">
      <w:pPr>
        <w:rPr>
          <w:rFonts w:ascii="Calibri" w:hAnsi="Calibri" w:eastAsia="Calibri" w:cs="Calibri"/>
          <w:color w:val="4472C4" w:themeColor="accent1"/>
          <w:sz w:val="28"/>
          <w:szCs w:val="28"/>
        </w:rPr>
      </w:pPr>
      <w:bookmarkStart w:name="_GoBack" w:id="0"/>
      <w:r>
        <w:rPr>
          <w:rFonts w:ascii="Calibri" w:hAnsi="Calibri" w:eastAsia="Calibri" w:cs="Calibri"/>
          <w:color w:val="4472C4" w:themeColor="accent1"/>
          <w:sz w:val="28"/>
          <w:szCs w:val="28"/>
        </w:rPr>
        <w:t xml:space="preserve">Kaiser Permanente Northern California patients on cancer treatment with SARS-CoV-2 have an increased </w:t>
      </w:r>
      <w:r w:rsidR="005B226F">
        <w:rPr>
          <w:rFonts w:ascii="Calibri" w:hAnsi="Calibri" w:eastAsia="Calibri" w:cs="Calibri"/>
          <w:color w:val="4472C4" w:themeColor="accent1"/>
          <w:sz w:val="28"/>
          <w:szCs w:val="28"/>
        </w:rPr>
        <w:t xml:space="preserve">risk </w:t>
      </w:r>
      <w:r>
        <w:rPr>
          <w:rFonts w:ascii="Calibri" w:hAnsi="Calibri" w:eastAsia="Calibri" w:cs="Calibri"/>
          <w:color w:val="4472C4" w:themeColor="accent1"/>
          <w:sz w:val="28"/>
          <w:szCs w:val="28"/>
        </w:rPr>
        <w:t xml:space="preserve">of requiring noninvasive ventilation compared to patients with SARS-CoV-2 and no cancer  </w:t>
      </w:r>
    </w:p>
    <w:bookmarkEnd w:id="0"/>
    <w:p w:rsidR="008A7C90" w:rsidP="00D24534" w:rsidRDefault="00360F47" w14:paraId="7FCD574A" w14:textId="376D7AFC">
      <w:pPr>
        <w:spacing w:after="0"/>
      </w:pPr>
      <w:r>
        <w:t>Archana Anantharaman, MD; Jennifer Dusendang, M</w:t>
      </w:r>
      <w:r w:rsidR="005B226F">
        <w:t>PH</w:t>
      </w:r>
      <w:r>
        <w:t>; Julie Schmittdiel, PhD; Andrea Harzstark, MD</w:t>
      </w:r>
      <w:r w:rsidR="008A7C90">
        <w:t xml:space="preserve"> </w:t>
      </w:r>
    </w:p>
    <w:tbl>
      <w:tblPr>
        <w:tblStyle w:val="TableGrid"/>
        <w:tblpPr w:leftFromText="180" w:rightFromText="180" w:vertAnchor="page" w:horzAnchor="margin" w:tblpY="2581"/>
        <w:tblW w:w="10790" w:type="dxa"/>
        <w:tblLook w:val="04A0" w:firstRow="1" w:lastRow="0" w:firstColumn="1" w:lastColumn="0" w:noHBand="0" w:noVBand="1"/>
      </w:tblPr>
      <w:tblGrid>
        <w:gridCol w:w="1618"/>
        <w:gridCol w:w="9172"/>
      </w:tblGrid>
      <w:tr w:rsidRPr="008A7C90" w:rsidR="0048655A" w:rsidTr="3CDC2BA9" w14:paraId="307289BF" w14:textId="77777777">
        <w:trPr>
          <w:trHeight w:val="816"/>
        </w:trPr>
        <w:tc>
          <w:tcPr>
            <w:tcW w:w="1975" w:type="dxa"/>
            <w:tcMar/>
          </w:tcPr>
          <w:p w:rsidRPr="008A7C90" w:rsidR="0048655A" w:rsidP="0048655A" w:rsidRDefault="0048655A" w14:paraId="2C7E2D09" w14:textId="77777777">
            <w:pPr>
              <w:spacing w:line="259" w:lineRule="auto"/>
            </w:pPr>
            <w:bookmarkStart w:name="_Hlk54105970" w:id="1"/>
            <w:r w:rsidRPr="008A7C90">
              <w:t>Challenge</w:t>
            </w:r>
          </w:p>
        </w:tc>
        <w:tc>
          <w:tcPr>
            <w:tcW w:w="8815" w:type="dxa"/>
            <w:tcMar/>
          </w:tcPr>
          <w:p w:rsidRPr="00B85408" w:rsidR="0048655A" w:rsidP="0048655A" w:rsidRDefault="00B85408" w14:paraId="7F9273D4" w14:textId="085E9C90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COVID-19 is a serious worldwide health challenge. Recommendations for cancer therapy depend on an understanding of outcomes for cancer patients if they are infected with COVID-19.</w:t>
            </w:r>
          </w:p>
        </w:tc>
      </w:tr>
      <w:tr w:rsidRPr="008A7C90" w:rsidR="0048655A" w:rsidTr="3CDC2BA9" w14:paraId="67D435C8" w14:textId="77777777">
        <w:trPr>
          <w:trHeight w:val="551"/>
        </w:trPr>
        <w:tc>
          <w:tcPr>
            <w:tcW w:w="1975" w:type="dxa"/>
            <w:tcMar/>
          </w:tcPr>
          <w:p w:rsidRPr="008A7C90" w:rsidR="0048655A" w:rsidP="0048655A" w:rsidRDefault="0048655A" w14:paraId="351B366F" w14:textId="77777777">
            <w:pPr>
              <w:spacing w:line="259" w:lineRule="auto"/>
            </w:pPr>
            <w:r w:rsidRPr="008A7C90">
              <w:t>Existing Evidence</w:t>
            </w:r>
          </w:p>
        </w:tc>
        <w:tc>
          <w:tcPr>
            <w:tcW w:w="8815" w:type="dxa"/>
            <w:tcMar/>
          </w:tcPr>
          <w:p w:rsidRPr="00B85408" w:rsidR="00B85408" w:rsidP="0048655A" w:rsidRDefault="00B85408" w14:paraId="70041630" w14:textId="437E9B60">
            <w:pPr>
              <w:spacing w:line="259" w:lineRule="auto"/>
              <w:rPr>
                <w:rFonts w:ascii="Calibri" w:hAnsi="Calibri" w:cs="Calibri"/>
                <w:color w:val="1C1D1E"/>
                <w:shd w:val="clear" w:color="auto" w:fill="FFFFFF"/>
              </w:rPr>
            </w:pPr>
            <w:r w:rsidRPr="00B85408">
              <w:rPr>
                <w:rFonts w:ascii="Calibri" w:hAnsi="Calibri" w:cs="Calibri"/>
                <w:color w:val="1C1D1E"/>
                <w:shd w:val="clear" w:color="auto" w:fill="FFFFFF"/>
              </w:rPr>
              <w:t>Based on the early experience in China and Italy, the overall trend is toward worse COVID‐19 outcomes for those with a diagnosis of cancer, especially those with thoracic malignancies.</w:t>
            </w:r>
          </w:p>
        </w:tc>
      </w:tr>
      <w:tr w:rsidRPr="008A7C90" w:rsidR="0048655A" w:rsidTr="3CDC2BA9" w14:paraId="136E6453" w14:textId="77777777">
        <w:trPr>
          <w:trHeight w:val="262"/>
        </w:trPr>
        <w:tc>
          <w:tcPr>
            <w:tcW w:w="1975" w:type="dxa"/>
            <w:tcMar/>
          </w:tcPr>
          <w:p w:rsidRPr="008A7C90" w:rsidR="0048655A" w:rsidP="0048655A" w:rsidRDefault="0048655A" w14:paraId="53202DB8" w14:textId="77777777">
            <w:pPr>
              <w:spacing w:line="259" w:lineRule="auto"/>
            </w:pPr>
            <w:r w:rsidRPr="008A7C90">
              <w:t>Target Population</w:t>
            </w:r>
          </w:p>
        </w:tc>
        <w:tc>
          <w:tcPr>
            <w:tcW w:w="8815" w:type="dxa"/>
            <w:tcMar/>
          </w:tcPr>
          <w:p w:rsidRPr="008A7C90" w:rsidR="0048655A" w:rsidP="0048655A" w:rsidRDefault="00B85408" w14:paraId="1486D38C" w14:textId="2C5F4BFE">
            <w:pPr>
              <w:spacing w:line="259" w:lineRule="auto"/>
            </w:pPr>
            <w:r>
              <w:t>Patients with cancer who have undergone cancer therapy (either surgery or cancer medication) within the past six months (compared to patients without cancer).</w:t>
            </w:r>
          </w:p>
        </w:tc>
      </w:tr>
      <w:tr w:rsidRPr="008A7C90" w:rsidR="0048655A" w:rsidTr="3CDC2BA9" w14:paraId="5B80BED5" w14:textId="77777777">
        <w:trPr>
          <w:trHeight w:val="276"/>
        </w:trPr>
        <w:tc>
          <w:tcPr>
            <w:tcW w:w="1975" w:type="dxa"/>
            <w:tcMar/>
          </w:tcPr>
          <w:p w:rsidRPr="008A7C90" w:rsidR="0048655A" w:rsidP="0048655A" w:rsidRDefault="0048655A" w14:paraId="0D0B7C0D" w14:textId="77777777">
            <w:pPr>
              <w:spacing w:line="259" w:lineRule="auto"/>
            </w:pPr>
            <w:r w:rsidRPr="008A7C90">
              <w:t>Intervention or Exposure</w:t>
            </w:r>
          </w:p>
        </w:tc>
        <w:tc>
          <w:tcPr>
            <w:tcW w:w="8815" w:type="dxa"/>
            <w:tcMar/>
          </w:tcPr>
          <w:p w:rsidRPr="008A7C90" w:rsidR="0048655A" w:rsidP="00B85408" w:rsidRDefault="006D32D2" w14:paraId="0CA2C589" w14:textId="5E350004">
            <w:r>
              <w:t xml:space="preserve">A </w:t>
            </w:r>
            <w:r w:rsidR="00B85408">
              <w:t>retrospective cohort study of adults with a positive lab test for COVID-19 between 2/25/20 and 6/8/20.</w:t>
            </w:r>
          </w:p>
        </w:tc>
      </w:tr>
      <w:tr w:rsidRPr="008A7C90" w:rsidR="00B85408" w:rsidTr="3CDC2BA9" w14:paraId="13978FD3" w14:textId="77777777">
        <w:trPr>
          <w:trHeight w:val="2282"/>
        </w:trPr>
        <w:tc>
          <w:tcPr>
            <w:tcW w:w="1975" w:type="dxa"/>
            <w:tcMar/>
          </w:tcPr>
          <w:p w:rsidRPr="00EF635D" w:rsidR="00B85408" w:rsidP="00B85408" w:rsidRDefault="00B85408" w14:paraId="7525D5B4" w14:textId="77777777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Outcomes/Key Findings</w:t>
            </w:r>
          </w:p>
        </w:tc>
        <w:tc>
          <w:tcPr>
            <w:tcW w:w="8815" w:type="dxa"/>
            <w:tcMar/>
          </w:tcPr>
          <w:p w:rsidRPr="008E1CB0" w:rsidR="00B85408" w:rsidP="00B85408" w:rsidRDefault="00B85408" w14:paraId="69CE1CB9" w14:textId="77777777">
            <w:pPr>
              <w:spacing w:line="259" w:lineRule="auto"/>
              <w:rPr>
                <w:rFonts w:ascii="Calibri" w:hAnsi="Calibri" w:cs="Calibri"/>
                <w:b/>
                <w:bCs/>
              </w:rPr>
            </w:pPr>
            <w:r w:rsidRPr="008E1CB0">
              <w:rPr>
                <w:rFonts w:ascii="Calibri" w:hAnsi="Calibri" w:cs="Calibri"/>
                <w:color w:val="1C1D1E"/>
                <w:shd w:val="clear" w:color="auto" w:fill="FFFFFF"/>
              </w:rPr>
              <w:t>Of the 4,627 patients diagnosed with COVID‐19 from February 25, 2020, to June 8, 2020, 33 (0.7%) had active cancer treatment within 180 days, 214 (4.6%) had a history of cancer, and 4,380 (94.7%) had no diagnosis of cancer. Of the patients with cancer receiving active treatment, the most common cancer diagnoses were breast (</w:t>
            </w:r>
            <w:r w:rsidRPr="008E1CB0">
              <w:rPr>
                <w:rFonts w:ascii="Calibri" w:hAnsi="Calibri" w:cs="Calibri"/>
                <w:i/>
                <w:iCs/>
                <w:color w:val="1C1D1E"/>
                <w:shd w:val="clear" w:color="auto" w:fill="FFFFFF"/>
              </w:rPr>
              <w:t>n</w:t>
            </w:r>
            <w:r w:rsidRPr="008E1CB0">
              <w:rPr>
                <w:rFonts w:ascii="Calibri" w:hAnsi="Calibri" w:cs="Calibri"/>
                <w:color w:val="1C1D1E"/>
                <w:shd w:val="clear" w:color="auto" w:fill="FFFFFF"/>
              </w:rPr>
              <w:t> = 9) and hematologic (</w:t>
            </w:r>
            <w:r w:rsidRPr="008E1CB0">
              <w:rPr>
                <w:rFonts w:ascii="Calibri" w:hAnsi="Calibri" w:cs="Calibri"/>
                <w:i/>
                <w:iCs/>
                <w:color w:val="1C1D1E"/>
                <w:shd w:val="clear" w:color="auto" w:fill="FFFFFF"/>
              </w:rPr>
              <w:t>n</w:t>
            </w:r>
            <w:r w:rsidRPr="008E1CB0">
              <w:rPr>
                <w:rFonts w:ascii="Calibri" w:hAnsi="Calibri" w:cs="Calibri"/>
                <w:color w:val="1C1D1E"/>
                <w:shd w:val="clear" w:color="auto" w:fill="FFFFFF"/>
              </w:rPr>
              <w:t> = 7). The most common treatments were targeted (</w:t>
            </w:r>
            <w:r w:rsidRPr="008E1CB0">
              <w:rPr>
                <w:rFonts w:ascii="Calibri" w:hAnsi="Calibri" w:cs="Calibri"/>
                <w:i/>
                <w:iCs/>
                <w:color w:val="1C1D1E"/>
                <w:shd w:val="clear" w:color="auto" w:fill="FFFFFF"/>
              </w:rPr>
              <w:t>n</w:t>
            </w:r>
            <w:r w:rsidRPr="008E1CB0">
              <w:rPr>
                <w:rFonts w:ascii="Calibri" w:hAnsi="Calibri" w:cs="Calibri"/>
                <w:color w:val="1C1D1E"/>
                <w:shd w:val="clear" w:color="auto" w:fill="FFFFFF"/>
              </w:rPr>
              <w:t> = 14), chemotherapy (</w:t>
            </w:r>
            <w:r w:rsidRPr="008E1CB0">
              <w:rPr>
                <w:rFonts w:ascii="Calibri" w:hAnsi="Calibri" w:cs="Calibri"/>
                <w:i/>
                <w:iCs/>
                <w:color w:val="1C1D1E"/>
                <w:shd w:val="clear" w:color="auto" w:fill="FFFFFF"/>
              </w:rPr>
              <w:t>n</w:t>
            </w:r>
            <w:r w:rsidRPr="008E1CB0">
              <w:rPr>
                <w:rFonts w:ascii="Calibri" w:hAnsi="Calibri" w:cs="Calibri"/>
                <w:color w:val="1C1D1E"/>
                <w:shd w:val="clear" w:color="auto" w:fill="FFFFFF"/>
              </w:rPr>
              <w:t> = 12), and hormonal (</w:t>
            </w:r>
            <w:r w:rsidRPr="008E1CB0">
              <w:rPr>
                <w:rFonts w:ascii="Calibri" w:hAnsi="Calibri" w:cs="Calibri"/>
                <w:i/>
                <w:iCs/>
                <w:color w:val="1C1D1E"/>
                <w:shd w:val="clear" w:color="auto" w:fill="FFFFFF"/>
              </w:rPr>
              <w:t>n</w:t>
            </w:r>
            <w:r w:rsidRPr="008E1CB0">
              <w:rPr>
                <w:rFonts w:ascii="Calibri" w:hAnsi="Calibri" w:cs="Calibri"/>
                <w:color w:val="1C1D1E"/>
                <w:shd w:val="clear" w:color="auto" w:fill="FFFFFF"/>
              </w:rPr>
              <w:t> = 11).</w:t>
            </w:r>
          </w:p>
          <w:p w:rsidRPr="008A7C90" w:rsidR="00B85408" w:rsidP="00B85408" w:rsidRDefault="00B85408" w14:paraId="3CD35CB0" w14:textId="6A2D350A">
            <w:pPr>
              <w:spacing w:line="259" w:lineRule="auto"/>
            </w:pPr>
            <w:r w:rsidRPr="008E1CB0" w:rsidR="00B85408">
              <w:rPr>
                <w:rFonts w:ascii="Calibri" w:hAnsi="Calibri" w:cs="Calibri"/>
                <w:b w:val="1"/>
                <w:bCs w:val="1"/>
                <w:color w:val="1C1D1E"/>
                <w:shd w:val="clear" w:color="auto" w:fill="FFFFFF"/>
              </w:rPr>
              <w:t>Patients with active cancer treatment had a higher risk of requiring noninvasive ventilation (OR, 2.57; CI, 1.10–6.01) than those without cancer.</w:t>
            </w:r>
            <w:r w:rsidRPr="008E1CB0" w:rsidR="00B85408">
              <w:rPr>
                <w:rFonts w:ascii="Calibri" w:hAnsi="Calibri" w:cs="Calibri"/>
                <w:color w:val="1C1D1E"/>
                <w:shd w:val="clear" w:color="auto" w:fill="FFFFFF"/>
              </w:rPr>
              <w:t xml:space="preserve"> There was a </w:t>
            </w:r>
            <w:r w:rsidRPr="008E1CB0" w:rsidR="05C9DE8A">
              <w:rPr>
                <w:rFonts w:ascii="Calibri" w:hAnsi="Calibri" w:cs="Calibri"/>
                <w:color w:val="1C1D1E"/>
                <w:shd w:val="clear" w:color="auto" w:fill="FFFFFF"/>
              </w:rPr>
              <w:t xml:space="preserve">strong trend (</w:t>
            </w:r>
            <w:r w:rsidRPr="008E1CB0" w:rsidR="00B85408">
              <w:rPr>
                <w:rFonts w:ascii="Calibri" w:hAnsi="Calibri" w:cs="Calibri"/>
                <w:color w:val="1C1D1E"/>
                <w:shd w:val="clear" w:color="auto" w:fill="FFFFFF"/>
              </w:rPr>
              <w:t xml:space="preserve">non–statistically significant</w:t>
            </w:r>
            <w:r w:rsidRPr="008E1CB0" w:rsidR="71654BC8">
              <w:rPr>
                <w:rFonts w:ascii="Calibri" w:hAnsi="Calibri" w:cs="Calibri"/>
                <w:color w:val="1C1D1E"/>
                <w:shd w:val="clear" w:color="auto" w:fill="FFFFFF"/>
              </w:rPr>
              <w:t xml:space="preserve">)</w:t>
            </w:r>
            <w:r w:rsidRPr="008E1CB0" w:rsidR="00B85408">
              <w:rPr>
                <w:rFonts w:ascii="Calibri" w:hAnsi="Calibri" w:cs="Calibri"/>
                <w:color w:val="1C1D1E"/>
                <w:shd w:val="clear" w:color="auto" w:fill="FFFFFF"/>
              </w:rPr>
              <w:t xml:space="preserve"> toward</w:t>
            </w:r>
            <w:r w:rsidRPr="008E1CB0" w:rsidR="2E560EAF">
              <w:rPr>
                <w:rFonts w:ascii="Calibri" w:hAnsi="Calibri" w:cs="Calibri"/>
                <w:color w:val="1C1D1E"/>
                <w:shd w:val="clear" w:color="auto" w:fill="FFFFFF"/>
              </w:rPr>
              <w:t xml:space="preserve">s</w:t>
            </w:r>
            <w:r w:rsidRPr="008E1CB0" w:rsidR="00B85408">
              <w:rPr>
                <w:rFonts w:ascii="Calibri" w:hAnsi="Calibri" w:cs="Calibri"/>
                <w:color w:val="1C1D1E"/>
                <w:shd w:val="clear" w:color="auto" w:fill="FFFFFF"/>
              </w:rPr>
              <w:t xml:space="preserve"> higher risk of death (OR, 2.78; CI, 0.92–8.43) in patients with active cancer. Those with a history of cancer had comparable outcomes to those without any cancer history</w:t>
            </w:r>
            <w:r w:rsidR="00B85408">
              <w:rPr>
                <w:rFonts w:ascii="Calibri" w:hAnsi="Calibri" w:cs="Calibri"/>
                <w:color w:val="1C1D1E"/>
                <w:shd w:val="clear" w:color="auto" w:fill="FFFFFF"/>
              </w:rPr>
              <w:t>.</w:t>
            </w:r>
          </w:p>
        </w:tc>
      </w:tr>
      <w:tr w:rsidRPr="008A7C90" w:rsidR="00B85408" w:rsidTr="3CDC2BA9" w14:paraId="62542513" w14:textId="77777777">
        <w:trPr>
          <w:trHeight w:val="816"/>
        </w:trPr>
        <w:tc>
          <w:tcPr>
            <w:tcW w:w="1975" w:type="dxa"/>
            <w:tcMar/>
          </w:tcPr>
          <w:p w:rsidRPr="00EF635D" w:rsidR="00B85408" w:rsidP="00B85408" w:rsidRDefault="00B85408" w14:paraId="38755ADC" w14:textId="77777777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Resulting Action/Change</w:t>
            </w:r>
          </w:p>
        </w:tc>
        <w:tc>
          <w:tcPr>
            <w:tcW w:w="8815" w:type="dxa"/>
            <w:tcMar/>
          </w:tcPr>
          <w:p w:rsidRPr="00EF635D" w:rsidR="00B85408" w:rsidP="00B85408" w:rsidRDefault="00B85408" w14:paraId="092B6F29" w14:textId="3757084A">
            <w:pPr>
              <w:spacing w:line="259" w:lineRule="auto"/>
              <w:rPr>
                <w:b w:val="1"/>
                <w:bCs w:val="1"/>
              </w:rPr>
            </w:pPr>
            <w:r w:rsidRPr="3CDC2BA9" w:rsidR="4C9894F0">
              <w:rPr>
                <w:b w:val="1"/>
                <w:bCs w:val="1"/>
              </w:rPr>
              <w:t>The r</w:t>
            </w:r>
            <w:r w:rsidRPr="3CDC2BA9" w:rsidR="00B85408">
              <w:rPr>
                <w:b w:val="1"/>
                <w:bCs w:val="1"/>
              </w:rPr>
              <w:t>esults</w:t>
            </w:r>
            <w:r w:rsidRPr="3CDC2BA9" w:rsidR="000C0A5F">
              <w:rPr>
                <w:b w:val="1"/>
                <w:bCs w:val="1"/>
              </w:rPr>
              <w:t>, along with other publications on the topic, inform discussions about COVID-19 risks for patients on cancer therapy</w:t>
            </w:r>
            <w:r w:rsidRPr="3CDC2BA9" w:rsidR="029DAFE5">
              <w:rPr>
                <w:b w:val="1"/>
                <w:bCs w:val="1"/>
              </w:rPr>
              <w:t xml:space="preserve"> and, where appropriate, timing of cancer therapy</w:t>
            </w:r>
            <w:r w:rsidRPr="3CDC2BA9" w:rsidR="163D9601">
              <w:rPr>
                <w:b w:val="1"/>
                <w:bCs w:val="1"/>
              </w:rPr>
              <w:t>,</w:t>
            </w:r>
            <w:r w:rsidRPr="3CDC2BA9" w:rsidR="029DAFE5">
              <w:rPr>
                <w:b w:val="1"/>
                <w:bCs w:val="1"/>
              </w:rPr>
              <w:t xml:space="preserve"> and appropriate precautions for risk reduction</w:t>
            </w:r>
            <w:r w:rsidRPr="3CDC2BA9" w:rsidR="000C0A5F">
              <w:rPr>
                <w:b w:val="1"/>
                <w:bCs w:val="1"/>
              </w:rPr>
              <w:t>.</w:t>
            </w:r>
          </w:p>
        </w:tc>
      </w:tr>
      <w:tr w:rsidRPr="008A7C90" w:rsidR="00B85408" w:rsidTr="3CDC2BA9" w14:paraId="57800790" w14:textId="77777777">
        <w:trPr>
          <w:trHeight w:val="816"/>
        </w:trPr>
        <w:tc>
          <w:tcPr>
            <w:tcW w:w="1975" w:type="dxa"/>
            <w:tcMar/>
          </w:tcPr>
          <w:p w:rsidRPr="00EB0401" w:rsidR="00B85408" w:rsidP="00B85408" w:rsidRDefault="00B85408" w14:paraId="6C4E04AC" w14:textId="161310DB">
            <w:r w:rsidRPr="00EB0401">
              <w:t>Additional Recommendations</w:t>
            </w:r>
          </w:p>
        </w:tc>
        <w:tc>
          <w:tcPr>
            <w:tcW w:w="8815" w:type="dxa"/>
            <w:tcMar/>
          </w:tcPr>
          <w:p w:rsidRPr="00EB0401" w:rsidR="00B85408" w:rsidP="3CDC2BA9" w:rsidRDefault="00B85408" w14:paraId="08163871" w14:textId="0DC2092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36DF3FE">
              <w:rPr/>
              <w:t>These data can be combined with other KPNC studies to identify patients most likely to benefit from enhanced COVID-19 precautions</w:t>
            </w:r>
            <w:r w:rsidR="393FAF34">
              <w:rPr/>
              <w:t xml:space="preserve"> (including for emerging variants)</w:t>
            </w:r>
            <w:r w:rsidR="536DF3FE">
              <w:rPr/>
              <w:t xml:space="preserve">, early vaccination, </w:t>
            </w:r>
            <w:r w:rsidR="536DF3FE">
              <w:rPr/>
              <w:t>etc. Beyond the standard age criteria.</w:t>
            </w:r>
          </w:p>
        </w:tc>
      </w:tr>
      <w:tr w:rsidRPr="008A7C90" w:rsidR="00B85408" w:rsidTr="3CDC2BA9" w14:paraId="21F6FB6D" w14:textId="77777777">
        <w:trPr>
          <w:trHeight w:val="552"/>
        </w:trPr>
        <w:tc>
          <w:tcPr>
            <w:tcW w:w="1975" w:type="dxa"/>
            <w:tcMar/>
          </w:tcPr>
          <w:p w:rsidRPr="008A7C90" w:rsidR="00B85408" w:rsidP="00B85408" w:rsidRDefault="00B85408" w14:paraId="511F380C" w14:textId="77777777">
            <w:pPr>
              <w:spacing w:line="259" w:lineRule="auto"/>
            </w:pPr>
            <w:r w:rsidRPr="008A7C90">
              <w:t>Implementation Tools</w:t>
            </w:r>
            <w:r w:rsidRPr="008A7C90">
              <w:tab/>
            </w:r>
          </w:p>
        </w:tc>
        <w:tc>
          <w:tcPr>
            <w:tcW w:w="8815" w:type="dxa"/>
            <w:tcMar/>
          </w:tcPr>
          <w:p w:rsidRPr="00635185" w:rsidR="00B85408" w:rsidP="00B85408" w:rsidRDefault="00635185" w14:paraId="35B5FEA6" w14:textId="2FF27A00">
            <w:pPr>
              <w:spacing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1C1D1E"/>
                <w:shd w:val="clear" w:color="auto" w:fill="FFFFFF"/>
              </w:rPr>
              <w:t>D</w:t>
            </w:r>
            <w:r w:rsidRPr="00635185">
              <w:rPr>
                <w:rFonts w:ascii="Calibri" w:hAnsi="Calibri" w:cs="Calibri"/>
                <w:color w:val="1C1D1E"/>
                <w:shd w:val="clear" w:color="auto" w:fill="FFFFFF"/>
              </w:rPr>
              <w:t>ata were collected from the electronic medical record</w:t>
            </w:r>
            <w:r>
              <w:rPr>
                <w:rFonts w:ascii="Calibri" w:hAnsi="Calibri" w:cs="Calibri"/>
                <w:color w:val="1C1D1E"/>
                <w:shd w:val="clear" w:color="auto" w:fill="FFFFFF"/>
              </w:rPr>
              <w:t xml:space="preserve"> u</w:t>
            </w:r>
            <w:r w:rsidRPr="00635185">
              <w:rPr>
                <w:rFonts w:ascii="Calibri" w:hAnsi="Calibri" w:cs="Calibri"/>
                <w:color w:val="1C1D1E"/>
                <w:shd w:val="clear" w:color="auto" w:fill="FFFFFF"/>
              </w:rPr>
              <w:t>sing an internally developed algorithm and chart review</w:t>
            </w:r>
            <w:r>
              <w:rPr>
                <w:rFonts w:ascii="Calibri" w:hAnsi="Calibri" w:cs="Calibri"/>
                <w:color w:val="1C1D1E"/>
                <w:shd w:val="clear" w:color="auto" w:fill="FFFFFF"/>
              </w:rPr>
              <w:t>.</w:t>
            </w:r>
          </w:p>
        </w:tc>
      </w:tr>
      <w:tr w:rsidRPr="008A7C90" w:rsidR="00B85408" w:rsidTr="3CDC2BA9" w14:paraId="02D4678D" w14:textId="77777777">
        <w:trPr>
          <w:trHeight w:val="552"/>
        </w:trPr>
        <w:tc>
          <w:tcPr>
            <w:tcW w:w="1975" w:type="dxa"/>
            <w:tcMar/>
          </w:tcPr>
          <w:p w:rsidRPr="008A7C90" w:rsidR="00B85408" w:rsidP="00B85408" w:rsidRDefault="00B85408" w14:paraId="1B184543" w14:textId="77777777">
            <w:pPr>
              <w:spacing w:line="259" w:lineRule="auto"/>
            </w:pPr>
            <w:r w:rsidRPr="008A7C90">
              <w:t>Implementation Measurement</w:t>
            </w:r>
          </w:p>
        </w:tc>
        <w:tc>
          <w:tcPr>
            <w:tcW w:w="8815" w:type="dxa"/>
            <w:tcMar/>
          </w:tcPr>
          <w:p w:rsidRPr="008A7C90" w:rsidR="00B85408" w:rsidP="00B85408" w:rsidRDefault="006E4326" w14:paraId="0D25EBD1" w14:textId="043F1EA8">
            <w:pPr>
              <w:spacing w:line="259" w:lineRule="auto"/>
            </w:pPr>
            <w:r>
              <w:t>Risk of adverse outcomes (ED visits, hospitalization, ICU admission, invasive ventilation, no</w:t>
            </w:r>
            <w:r w:rsidR="00635185">
              <w:t>ninvasive ventilation and death)</w:t>
            </w:r>
          </w:p>
        </w:tc>
      </w:tr>
      <w:tr w:rsidRPr="008A7C90" w:rsidR="00B85408" w:rsidTr="3CDC2BA9" w14:paraId="66558595" w14:textId="77777777">
        <w:trPr>
          <w:trHeight w:val="538"/>
        </w:trPr>
        <w:tc>
          <w:tcPr>
            <w:tcW w:w="1975" w:type="dxa"/>
            <w:tcMar/>
          </w:tcPr>
          <w:p w:rsidRPr="008A7C90" w:rsidR="00B85408" w:rsidP="00B85408" w:rsidRDefault="00B85408" w14:paraId="29954FA9" w14:textId="77777777">
            <w:pPr>
              <w:spacing w:line="259" w:lineRule="auto"/>
            </w:pPr>
            <w:r w:rsidRPr="008A7C90">
              <w:t>Reference</w:t>
            </w:r>
          </w:p>
        </w:tc>
        <w:tc>
          <w:tcPr>
            <w:tcW w:w="8815" w:type="dxa"/>
            <w:tcMar/>
          </w:tcPr>
          <w:p w:rsidR="006E4326" w:rsidP="006E4326" w:rsidRDefault="006E4326" w14:paraId="595ACF67" w14:textId="77777777">
            <w:r>
              <w:rPr>
                <w:rStyle w:val="table-captionlabel"/>
                <w:b/>
                <w:bCs/>
              </w:rPr>
              <w:t>Table 2. </w:t>
            </w:r>
            <w:r>
              <w:t>Adjusted odds ratios and 95% confidence intervals of clinical outcomes among 4,627 COVID‐19–positive patients diagnosed between February 25, 2020, and June 8, 2020</w:t>
            </w:r>
          </w:p>
          <w:tbl>
            <w:tblPr>
              <w:tblW w:w="10092" w:type="dxa"/>
              <w:tblBorders>
                <w:top w:val="single" w:color="9E9E9E" w:sz="6" w:space="0"/>
                <w:left w:val="single" w:color="9E9E9E" w:sz="6" w:space="0"/>
                <w:bottom w:val="single" w:color="9E9E9E" w:sz="6" w:space="0"/>
                <w:right w:val="single" w:color="9E9E9E" w:sz="6" w:spac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1"/>
              <w:gridCol w:w="1331"/>
              <w:gridCol w:w="1216"/>
              <w:gridCol w:w="1055"/>
              <w:gridCol w:w="1055"/>
              <w:gridCol w:w="1214"/>
              <w:gridCol w:w="1452"/>
              <w:gridCol w:w="1058"/>
            </w:tblGrid>
            <w:tr w:rsidR="006E4326" w:rsidTr="006E4326" w14:paraId="2B3F4E17" w14:textId="77777777">
              <w:trPr>
                <w:tblHeader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4326" w:rsidP="008C26E3" w:rsidRDefault="006E4326" w14:paraId="0BD39270" w14:textId="77777777">
                  <w:pPr>
                    <w:framePr w:hSpace="180" w:wrap="around" w:hAnchor="margin" w:vAnchor="page" w:y="2581"/>
                    <w:spacing w:after="225" w:line="360" w:lineRule="atLeas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Characteristics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4326" w:rsidP="008C26E3" w:rsidRDefault="006E4326" w14:paraId="4EA59B5E" w14:textId="77777777">
                  <w:pPr>
                    <w:framePr w:hSpace="180" w:wrap="around" w:hAnchor="margin" w:vAnchor="page" w:y="2581"/>
                    <w:spacing w:after="225" w:line="360" w:lineRule="atLeas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Any outcome (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n</w:t>
                  </w:r>
                  <w:r>
                    <w:rPr>
                      <w:b/>
                      <w:bCs/>
                      <w:color w:val="000000"/>
                    </w:rPr>
                    <w:t> = 1,829)</w:t>
                  </w:r>
                  <w:hyperlink w:tooltip="Link to note" w:history="1" w:anchor="onco13602-note-0008_9" r:id="rId8">
                    <w:r>
                      <w:rPr>
                        <w:rStyle w:val="Hyperlink"/>
                        <w:b/>
                        <w:bCs/>
                        <w:i/>
                        <w:iCs/>
                        <w:color w:val="005274"/>
                        <w:u w:val="none"/>
                        <w:vertAlign w:val="superscript"/>
                      </w:rPr>
                      <w:t>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4326" w:rsidP="008C26E3" w:rsidRDefault="006E4326" w14:paraId="42464655" w14:textId="77777777">
                  <w:pPr>
                    <w:framePr w:hSpace="180" w:wrap="around" w:hAnchor="margin" w:vAnchor="page" w:y="2581"/>
                    <w:spacing w:after="225" w:line="360" w:lineRule="atLeas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ED (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n</w:t>
                  </w:r>
                  <w:r>
                    <w:rPr>
                      <w:b/>
                      <w:bCs/>
                      <w:color w:val="000000"/>
                    </w:rPr>
                    <w:t> = 1,767)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4326" w:rsidP="008C26E3" w:rsidRDefault="006E4326" w14:paraId="1D04F4E9" w14:textId="77777777">
                  <w:pPr>
                    <w:framePr w:hSpace="180" w:wrap="around" w:hAnchor="margin" w:vAnchor="page" w:y="2581"/>
                    <w:spacing w:after="225" w:line="360" w:lineRule="atLeas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IP (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n</w:t>
                  </w:r>
                  <w:r>
                    <w:rPr>
                      <w:b/>
                      <w:bCs/>
                      <w:color w:val="000000"/>
                    </w:rPr>
                    <w:t> = 931)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4326" w:rsidP="008C26E3" w:rsidRDefault="006E4326" w14:paraId="623453CD" w14:textId="77777777">
                  <w:pPr>
                    <w:framePr w:hSpace="180" w:wrap="around" w:hAnchor="margin" w:vAnchor="page" w:y="2581"/>
                    <w:spacing w:after="225" w:line="360" w:lineRule="atLeas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ICU (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n</w:t>
                  </w:r>
                  <w:r>
                    <w:rPr>
                      <w:b/>
                      <w:bCs/>
                      <w:color w:val="000000"/>
                    </w:rPr>
                    <w:t> = 308)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4326" w:rsidP="008C26E3" w:rsidRDefault="006E4326" w14:paraId="0C7FD26B" w14:textId="77777777">
                  <w:pPr>
                    <w:framePr w:hSpace="180" w:wrap="around" w:hAnchor="margin" w:vAnchor="page" w:y="2581"/>
                    <w:spacing w:after="225" w:line="360" w:lineRule="atLeas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Invasive ventilator (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n</w:t>
                  </w:r>
                  <w:r>
                    <w:rPr>
                      <w:b/>
                      <w:bCs/>
                      <w:color w:val="000000"/>
                    </w:rPr>
                    <w:t> = 212)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4326" w:rsidP="008C26E3" w:rsidRDefault="006E4326" w14:paraId="1EB7F86A" w14:textId="77777777">
                  <w:pPr>
                    <w:framePr w:hSpace="180" w:wrap="around" w:hAnchor="margin" w:vAnchor="page" w:y="2581"/>
                    <w:spacing w:after="225" w:line="360" w:lineRule="atLeas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Noninvasive ventilator (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n</w:t>
                  </w:r>
                  <w:r>
                    <w:rPr>
                      <w:b/>
                      <w:bCs/>
                      <w:color w:val="000000"/>
                    </w:rPr>
                    <w:t> = 1,104)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E4326" w:rsidP="008C26E3" w:rsidRDefault="006E4326" w14:paraId="12C1AE10" w14:textId="77777777">
                  <w:pPr>
                    <w:framePr w:hSpace="180" w:wrap="around" w:hAnchor="margin" w:vAnchor="page" w:y="2581"/>
                    <w:spacing w:after="225" w:line="360" w:lineRule="atLeas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Death (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n</w:t>
                  </w:r>
                  <w:r>
                    <w:rPr>
                      <w:b/>
                      <w:bCs/>
                      <w:color w:val="000000"/>
                    </w:rPr>
                    <w:t> = 150)</w:t>
                  </w:r>
                </w:p>
              </w:tc>
            </w:tr>
            <w:tr w:rsidR="006E4326" w:rsidTr="006E4326" w14:paraId="05A5D49D" w14:textId="77777777">
              <w:tc>
                <w:tcPr>
                  <w:tcW w:w="0" w:type="auto"/>
                  <w:tcMar>
                    <w:top w:w="18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6E4326" w:rsidP="008C26E3" w:rsidRDefault="006E4326" w14:paraId="36A39DA0" w14:textId="77777777">
                  <w:pPr>
                    <w:framePr w:hSpace="180" w:wrap="around" w:hAnchor="margin" w:vAnchor="page" w:y="2581"/>
                    <w:spacing w:after="225" w:line="360" w:lineRule="atLeas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Cancer history</w:t>
                  </w:r>
                </w:p>
              </w:tc>
              <w:tc>
                <w:tcPr>
                  <w:tcW w:w="0" w:type="auto"/>
                  <w:tcMar>
                    <w:top w:w="18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6E4326" w:rsidP="008C26E3" w:rsidRDefault="006E4326" w14:paraId="3DE2D1BA" w14:textId="77777777">
                  <w:pPr>
                    <w:framePr w:hSpace="180" w:wrap="around" w:hAnchor="margin" w:vAnchor="page" w:y="2581"/>
                    <w:spacing w:after="225" w:line="360" w:lineRule="atLeas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8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6E4326" w:rsidP="008C26E3" w:rsidRDefault="006E4326" w14:paraId="419494CD" w14:textId="77777777">
                  <w:pPr>
                    <w:framePr w:hSpace="180" w:wrap="around" w:hAnchor="margin" w:vAnchor="page" w:y="2581"/>
                    <w:spacing w:after="225" w:line="36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8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6E4326" w:rsidP="008C26E3" w:rsidRDefault="006E4326" w14:paraId="7C1D5A34" w14:textId="77777777">
                  <w:pPr>
                    <w:framePr w:hSpace="180" w:wrap="around" w:hAnchor="margin" w:vAnchor="page" w:y="2581"/>
                    <w:spacing w:after="225" w:line="36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8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6E4326" w:rsidP="008C26E3" w:rsidRDefault="006E4326" w14:paraId="0D1A8603" w14:textId="77777777">
                  <w:pPr>
                    <w:framePr w:hSpace="180" w:wrap="around" w:hAnchor="margin" w:vAnchor="page" w:y="2581"/>
                    <w:spacing w:after="225" w:line="36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8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6E4326" w:rsidP="008C26E3" w:rsidRDefault="006E4326" w14:paraId="4D93E426" w14:textId="77777777">
                  <w:pPr>
                    <w:framePr w:hSpace="180" w:wrap="around" w:hAnchor="margin" w:vAnchor="page" w:y="2581"/>
                    <w:spacing w:after="225" w:line="36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8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6E4326" w:rsidP="008C26E3" w:rsidRDefault="006E4326" w14:paraId="3DA47573" w14:textId="77777777">
                  <w:pPr>
                    <w:framePr w:hSpace="180" w:wrap="around" w:hAnchor="margin" w:vAnchor="page" w:y="2581"/>
                    <w:spacing w:after="225" w:line="36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8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6E4326" w:rsidP="008C26E3" w:rsidRDefault="006E4326" w14:paraId="693A88FA" w14:textId="77777777">
                  <w:pPr>
                    <w:framePr w:hSpace="180" w:wrap="around" w:hAnchor="margin" w:vAnchor="page" w:y="2581"/>
                    <w:spacing w:after="225" w:line="360" w:lineRule="atLeast"/>
                    <w:rPr>
                      <w:sz w:val="20"/>
                      <w:szCs w:val="20"/>
                    </w:rPr>
                  </w:pPr>
                </w:p>
              </w:tc>
            </w:tr>
            <w:tr w:rsidR="006E4326" w:rsidTr="006E4326" w14:paraId="23F1C487" w14:textId="77777777">
              <w:tc>
                <w:tcPr>
                  <w:tcW w:w="0" w:type="auto"/>
                  <w:tcMar>
                    <w:top w:w="180" w:type="dxa"/>
                    <w:left w:w="480" w:type="dxa"/>
                    <w:bottom w:w="0" w:type="dxa"/>
                    <w:right w:w="180" w:type="dxa"/>
                  </w:tcMar>
                  <w:hideMark/>
                </w:tcPr>
                <w:p w:rsidR="006E4326" w:rsidP="008C26E3" w:rsidRDefault="006E4326" w14:paraId="45DA2CD4" w14:textId="77777777">
                  <w:pPr>
                    <w:framePr w:hSpace="180" w:wrap="around" w:hAnchor="margin" w:vAnchor="page" w:y="2581"/>
                    <w:spacing w:after="225" w:line="360" w:lineRule="atLeas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lastRenderedPageBreak/>
                    <w:t>Active treatment for cancer (</w:t>
                  </w:r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>n</w:t>
                  </w:r>
                  <w:r>
                    <w:rPr>
                      <w:color w:val="000000"/>
                      <w:sz w:val="18"/>
                      <w:szCs w:val="18"/>
                    </w:rPr>
                    <w:t> = 33)</w:t>
                  </w:r>
                </w:p>
              </w:tc>
              <w:tc>
                <w:tcPr>
                  <w:tcW w:w="0" w:type="auto"/>
                  <w:tcMar>
                    <w:top w:w="18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6E4326" w:rsidP="008C26E3" w:rsidRDefault="006E4326" w14:paraId="5DF697C8" w14:textId="77777777">
                  <w:pPr>
                    <w:framePr w:hSpace="180" w:wrap="around" w:hAnchor="margin" w:vAnchor="page" w:y="2581"/>
                    <w:spacing w:after="225" w:line="360" w:lineRule="atLeas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1.96 (0.85–4.50)</w:t>
                  </w:r>
                </w:p>
              </w:tc>
              <w:tc>
                <w:tcPr>
                  <w:tcW w:w="0" w:type="auto"/>
                  <w:tcMar>
                    <w:top w:w="18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6E4326" w:rsidP="008C26E3" w:rsidRDefault="006E4326" w14:paraId="5829BA88" w14:textId="77777777">
                  <w:pPr>
                    <w:framePr w:hSpace="180" w:wrap="around" w:hAnchor="margin" w:vAnchor="page" w:y="2581"/>
                    <w:spacing w:after="225" w:line="360" w:lineRule="atLeas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1.44 (0.65–3.19)</w:t>
                  </w:r>
                </w:p>
              </w:tc>
              <w:tc>
                <w:tcPr>
                  <w:tcW w:w="0" w:type="auto"/>
                  <w:tcMar>
                    <w:top w:w="18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6E4326" w:rsidP="008C26E3" w:rsidRDefault="006E4326" w14:paraId="53E5DC4E" w14:textId="77777777">
                  <w:pPr>
                    <w:framePr w:hSpace="180" w:wrap="around" w:hAnchor="margin" w:vAnchor="page" w:y="2581"/>
                    <w:spacing w:after="225" w:line="360" w:lineRule="atLeas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1.55 (0.67–3.59)</w:t>
                  </w:r>
                </w:p>
              </w:tc>
              <w:tc>
                <w:tcPr>
                  <w:tcW w:w="0" w:type="auto"/>
                  <w:tcMar>
                    <w:top w:w="18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6E4326" w:rsidP="008C26E3" w:rsidRDefault="006E4326" w14:paraId="34418191" w14:textId="77777777">
                  <w:pPr>
                    <w:framePr w:hSpace="180" w:wrap="around" w:hAnchor="margin" w:vAnchor="page" w:y="2581"/>
                    <w:spacing w:after="225" w:line="360" w:lineRule="atLeas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1.30 (0.41–4.08)</w:t>
                  </w:r>
                </w:p>
              </w:tc>
              <w:tc>
                <w:tcPr>
                  <w:tcW w:w="0" w:type="auto"/>
                  <w:tcMar>
                    <w:top w:w="18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6E4326" w:rsidP="008C26E3" w:rsidRDefault="006E4326" w14:paraId="50145A5C" w14:textId="77777777">
                  <w:pPr>
                    <w:framePr w:hSpace="180" w:wrap="around" w:hAnchor="margin" w:vAnchor="page" w:y="2581"/>
                    <w:spacing w:after="225" w:line="360" w:lineRule="atLeas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0.81 (0.18–3.75)</w:t>
                  </w:r>
                </w:p>
              </w:tc>
              <w:tc>
                <w:tcPr>
                  <w:tcW w:w="0" w:type="auto"/>
                  <w:tcMar>
                    <w:top w:w="18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6E4326" w:rsidP="008C26E3" w:rsidRDefault="006E4326" w14:paraId="37DB6E96" w14:textId="77777777">
                  <w:pPr>
                    <w:framePr w:hSpace="180" w:wrap="around" w:hAnchor="margin" w:vAnchor="page" w:y="2581"/>
                    <w:spacing w:after="225" w:line="360" w:lineRule="atLeas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2.57 (1.10–6.01)</w:t>
                  </w:r>
                </w:p>
              </w:tc>
              <w:tc>
                <w:tcPr>
                  <w:tcW w:w="0" w:type="auto"/>
                  <w:tcMar>
                    <w:top w:w="18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6E4326" w:rsidP="008C26E3" w:rsidRDefault="006E4326" w14:paraId="782E514C" w14:textId="77777777">
                  <w:pPr>
                    <w:framePr w:hSpace="180" w:wrap="around" w:hAnchor="margin" w:vAnchor="page" w:y="2581"/>
                    <w:spacing w:after="225" w:line="360" w:lineRule="atLeas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2.78 (0.92–8.43)</w:t>
                  </w:r>
                </w:p>
              </w:tc>
            </w:tr>
            <w:tr w:rsidR="006E4326" w:rsidTr="006E4326" w14:paraId="53AAB211" w14:textId="77777777">
              <w:tc>
                <w:tcPr>
                  <w:tcW w:w="0" w:type="auto"/>
                  <w:tcMar>
                    <w:top w:w="180" w:type="dxa"/>
                    <w:left w:w="480" w:type="dxa"/>
                    <w:bottom w:w="0" w:type="dxa"/>
                    <w:right w:w="180" w:type="dxa"/>
                  </w:tcMar>
                  <w:hideMark/>
                </w:tcPr>
                <w:p w:rsidR="006E4326" w:rsidP="008C26E3" w:rsidRDefault="006E4326" w14:paraId="0D0D2286" w14:textId="77777777">
                  <w:pPr>
                    <w:framePr w:hSpace="180" w:wrap="around" w:hAnchor="margin" w:vAnchor="page" w:y="2581"/>
                    <w:spacing w:after="225" w:line="360" w:lineRule="atLeas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History of cancer with no active treatment (</w:t>
                  </w:r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>n</w:t>
                  </w:r>
                  <w:r>
                    <w:rPr>
                      <w:color w:val="000000"/>
                      <w:sz w:val="18"/>
                      <w:szCs w:val="18"/>
                    </w:rPr>
                    <w:t> = 214)</w:t>
                  </w:r>
                </w:p>
              </w:tc>
              <w:tc>
                <w:tcPr>
                  <w:tcW w:w="0" w:type="auto"/>
                  <w:tcMar>
                    <w:top w:w="18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6E4326" w:rsidP="008C26E3" w:rsidRDefault="006E4326" w14:paraId="4BF219FD" w14:textId="77777777">
                  <w:pPr>
                    <w:framePr w:hSpace="180" w:wrap="around" w:hAnchor="margin" w:vAnchor="page" w:y="2581"/>
                    <w:spacing w:after="225" w:line="360" w:lineRule="atLeas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1.23 (0.89–1.69)</w:t>
                  </w:r>
                </w:p>
              </w:tc>
              <w:tc>
                <w:tcPr>
                  <w:tcW w:w="0" w:type="auto"/>
                  <w:tcMar>
                    <w:top w:w="18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6E4326" w:rsidP="008C26E3" w:rsidRDefault="006E4326" w14:paraId="21DBD84D" w14:textId="77777777">
                  <w:pPr>
                    <w:framePr w:hSpace="180" w:wrap="around" w:hAnchor="margin" w:vAnchor="page" w:y="2581"/>
                    <w:spacing w:after="225" w:line="360" w:lineRule="atLeas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1.00 (0.73–1.38)</w:t>
                  </w:r>
                </w:p>
              </w:tc>
              <w:tc>
                <w:tcPr>
                  <w:tcW w:w="0" w:type="auto"/>
                  <w:tcMar>
                    <w:top w:w="18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6E4326" w:rsidP="008C26E3" w:rsidRDefault="006E4326" w14:paraId="0A05D034" w14:textId="77777777">
                  <w:pPr>
                    <w:framePr w:hSpace="180" w:wrap="around" w:hAnchor="margin" w:vAnchor="page" w:y="2581"/>
                    <w:spacing w:after="225" w:line="360" w:lineRule="atLeas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1.06 (0.75–1.50)</w:t>
                  </w:r>
                </w:p>
              </w:tc>
              <w:tc>
                <w:tcPr>
                  <w:tcW w:w="0" w:type="auto"/>
                  <w:tcMar>
                    <w:top w:w="18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6E4326" w:rsidP="008C26E3" w:rsidRDefault="006E4326" w14:paraId="1C110048" w14:textId="77777777">
                  <w:pPr>
                    <w:framePr w:hSpace="180" w:wrap="around" w:hAnchor="margin" w:vAnchor="page" w:y="2581"/>
                    <w:spacing w:after="225" w:line="360" w:lineRule="atLeas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1.21 (0.76–1.95)</w:t>
                  </w:r>
                </w:p>
              </w:tc>
              <w:tc>
                <w:tcPr>
                  <w:tcW w:w="0" w:type="auto"/>
                  <w:tcMar>
                    <w:top w:w="18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6E4326" w:rsidP="008C26E3" w:rsidRDefault="006E4326" w14:paraId="53449622" w14:textId="77777777">
                  <w:pPr>
                    <w:framePr w:hSpace="180" w:wrap="around" w:hAnchor="margin" w:vAnchor="page" w:y="2581"/>
                    <w:spacing w:after="225" w:line="360" w:lineRule="atLeas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1.14 (0.66–1.96)</w:t>
                  </w:r>
                </w:p>
              </w:tc>
              <w:tc>
                <w:tcPr>
                  <w:tcW w:w="0" w:type="auto"/>
                  <w:tcMar>
                    <w:top w:w="18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6E4326" w:rsidP="008C26E3" w:rsidRDefault="006E4326" w14:paraId="0940773D" w14:textId="77777777">
                  <w:pPr>
                    <w:framePr w:hSpace="180" w:wrap="around" w:hAnchor="margin" w:vAnchor="page" w:y="2581"/>
                    <w:spacing w:after="225" w:line="360" w:lineRule="atLeas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1.25 (0.89–1.75)</w:t>
                  </w:r>
                </w:p>
              </w:tc>
              <w:tc>
                <w:tcPr>
                  <w:tcW w:w="0" w:type="auto"/>
                  <w:tcMar>
                    <w:top w:w="18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6E4326" w:rsidP="008C26E3" w:rsidRDefault="006E4326" w14:paraId="092B0D52" w14:textId="77777777">
                  <w:pPr>
                    <w:framePr w:hSpace="180" w:wrap="around" w:hAnchor="margin" w:vAnchor="page" w:y="2581"/>
                    <w:spacing w:after="225" w:line="360" w:lineRule="atLeas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0.92 (0.54–1.57)</w:t>
                  </w:r>
                </w:p>
              </w:tc>
            </w:tr>
            <w:tr w:rsidR="006E4326" w:rsidTr="006E4326" w14:paraId="4149081F" w14:textId="77777777">
              <w:tc>
                <w:tcPr>
                  <w:tcW w:w="0" w:type="auto"/>
                  <w:tcMar>
                    <w:top w:w="180" w:type="dxa"/>
                    <w:left w:w="480" w:type="dxa"/>
                    <w:bottom w:w="0" w:type="dxa"/>
                    <w:right w:w="180" w:type="dxa"/>
                  </w:tcMar>
                  <w:hideMark/>
                </w:tcPr>
                <w:p w:rsidR="006E4326" w:rsidP="008C26E3" w:rsidRDefault="006E4326" w14:paraId="567E279E" w14:textId="77777777">
                  <w:pPr>
                    <w:framePr w:hSpace="180" w:wrap="around" w:hAnchor="margin" w:vAnchor="page" w:y="2581"/>
                    <w:spacing w:after="225" w:line="360" w:lineRule="atLeas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No cancer (</w:t>
                  </w:r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>n</w:t>
                  </w:r>
                  <w:r>
                    <w:rPr>
                      <w:color w:val="000000"/>
                      <w:sz w:val="18"/>
                      <w:szCs w:val="18"/>
                    </w:rPr>
                    <w:t> = 4,380)</w:t>
                  </w:r>
                </w:p>
              </w:tc>
              <w:tc>
                <w:tcPr>
                  <w:tcW w:w="0" w:type="auto"/>
                  <w:tcMar>
                    <w:top w:w="18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6E4326" w:rsidP="008C26E3" w:rsidRDefault="006E4326" w14:paraId="40C2B263" w14:textId="77777777">
                  <w:pPr>
                    <w:framePr w:hSpace="180" w:wrap="around" w:hAnchor="margin" w:vAnchor="page" w:y="2581"/>
                    <w:spacing w:after="225" w:line="360" w:lineRule="atLeas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1.00 (Ref)</w:t>
                  </w:r>
                </w:p>
              </w:tc>
              <w:tc>
                <w:tcPr>
                  <w:tcW w:w="0" w:type="auto"/>
                  <w:tcMar>
                    <w:top w:w="18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6E4326" w:rsidP="008C26E3" w:rsidRDefault="006E4326" w14:paraId="08425F94" w14:textId="77777777">
                  <w:pPr>
                    <w:framePr w:hSpace="180" w:wrap="around" w:hAnchor="margin" w:vAnchor="page" w:y="2581"/>
                    <w:spacing w:after="225" w:line="360" w:lineRule="atLeas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1.00 (Ref)</w:t>
                  </w:r>
                </w:p>
              </w:tc>
              <w:tc>
                <w:tcPr>
                  <w:tcW w:w="0" w:type="auto"/>
                  <w:tcMar>
                    <w:top w:w="18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6E4326" w:rsidP="008C26E3" w:rsidRDefault="006E4326" w14:paraId="75595B8C" w14:textId="77777777">
                  <w:pPr>
                    <w:framePr w:hSpace="180" w:wrap="around" w:hAnchor="margin" w:vAnchor="page" w:y="2581"/>
                    <w:spacing w:after="225" w:line="360" w:lineRule="atLeas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1.00 (Ref)</w:t>
                  </w:r>
                </w:p>
              </w:tc>
              <w:tc>
                <w:tcPr>
                  <w:tcW w:w="0" w:type="auto"/>
                  <w:tcMar>
                    <w:top w:w="18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6E4326" w:rsidP="008C26E3" w:rsidRDefault="006E4326" w14:paraId="0019FF34" w14:textId="77777777">
                  <w:pPr>
                    <w:framePr w:hSpace="180" w:wrap="around" w:hAnchor="margin" w:vAnchor="page" w:y="2581"/>
                    <w:spacing w:after="225" w:line="360" w:lineRule="atLeas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1.00 (Ref)</w:t>
                  </w:r>
                </w:p>
              </w:tc>
              <w:tc>
                <w:tcPr>
                  <w:tcW w:w="0" w:type="auto"/>
                  <w:tcMar>
                    <w:top w:w="18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6E4326" w:rsidP="008C26E3" w:rsidRDefault="006E4326" w14:paraId="00600C64" w14:textId="77777777">
                  <w:pPr>
                    <w:framePr w:hSpace="180" w:wrap="around" w:hAnchor="margin" w:vAnchor="page" w:y="2581"/>
                    <w:spacing w:after="225" w:line="360" w:lineRule="atLeas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1.00 (Ref)</w:t>
                  </w:r>
                </w:p>
              </w:tc>
              <w:tc>
                <w:tcPr>
                  <w:tcW w:w="0" w:type="auto"/>
                  <w:tcMar>
                    <w:top w:w="18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6E4326" w:rsidP="008C26E3" w:rsidRDefault="006E4326" w14:paraId="7FC80908" w14:textId="77777777">
                  <w:pPr>
                    <w:framePr w:hSpace="180" w:wrap="around" w:hAnchor="margin" w:vAnchor="page" w:y="2581"/>
                    <w:spacing w:after="225" w:line="360" w:lineRule="atLeas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1.00 (Ref)</w:t>
                  </w:r>
                </w:p>
              </w:tc>
              <w:tc>
                <w:tcPr>
                  <w:tcW w:w="0" w:type="auto"/>
                  <w:tcMar>
                    <w:top w:w="18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6E4326" w:rsidP="008C26E3" w:rsidRDefault="006E4326" w14:paraId="380F62AB" w14:textId="77777777">
                  <w:pPr>
                    <w:framePr w:hSpace="180" w:wrap="around" w:hAnchor="margin" w:vAnchor="page" w:y="2581"/>
                    <w:spacing w:after="225" w:line="360" w:lineRule="atLeas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1.00 (Ref)</w:t>
                  </w:r>
                </w:p>
              </w:tc>
            </w:tr>
          </w:tbl>
          <w:p w:rsidRPr="00851757" w:rsidR="00B85408" w:rsidP="00B85408" w:rsidRDefault="00851757" w14:paraId="722DE921" w14:textId="1BFD566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alibri" w:hAnsi="Calibri" w:cs="Calibri"/>
                <w:color w:val="212121"/>
              </w:rPr>
            </w:pPr>
            <w:r w:rsidRPr="00851757">
              <w:rPr>
                <w:rFonts w:ascii="Calibri" w:hAnsi="Calibri" w:cs="Calibri"/>
              </w:rPr>
              <w:t xml:space="preserve">Reference: </w:t>
            </w:r>
            <w:hyperlink w:history="1" r:id="rId9">
              <w:r w:rsidRPr="00851757">
                <w:rPr>
                  <w:rStyle w:val="Hyperlink"/>
                  <w:rFonts w:ascii="Calibri" w:hAnsi="Calibri" w:cs="Calibri"/>
                  <w:color w:val="auto"/>
                  <w:shd w:val="clear" w:color="auto" w:fill="FFFFFF"/>
                </w:rPr>
                <w:t>https://doi.org/10.1002/onco.13602</w:t>
              </w:r>
            </w:hyperlink>
          </w:p>
        </w:tc>
      </w:tr>
      <w:bookmarkEnd w:id="1"/>
    </w:tbl>
    <w:p w:rsidR="00FE6194" w:rsidP="0048655A" w:rsidRDefault="00FE6194" w14:paraId="62800767" w14:textId="77777777">
      <w:pPr>
        <w:spacing w:after="0"/>
      </w:pPr>
    </w:p>
    <w:sectPr w:rsidR="00FE6194" w:rsidSect="00D24534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78CA"/>
    <w:multiLevelType w:val="multilevel"/>
    <w:tmpl w:val="7CFE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08735F7"/>
    <w:multiLevelType w:val="multilevel"/>
    <w:tmpl w:val="E808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90"/>
    <w:rsid w:val="000811DB"/>
    <w:rsid w:val="000C0A5F"/>
    <w:rsid w:val="001D52BB"/>
    <w:rsid w:val="001E348B"/>
    <w:rsid w:val="002A1A00"/>
    <w:rsid w:val="0031051B"/>
    <w:rsid w:val="00360F47"/>
    <w:rsid w:val="003D755D"/>
    <w:rsid w:val="003E34C5"/>
    <w:rsid w:val="0048655A"/>
    <w:rsid w:val="00514319"/>
    <w:rsid w:val="005B226F"/>
    <w:rsid w:val="00635185"/>
    <w:rsid w:val="006D32D2"/>
    <w:rsid w:val="006E4326"/>
    <w:rsid w:val="0072563B"/>
    <w:rsid w:val="00777238"/>
    <w:rsid w:val="008131C8"/>
    <w:rsid w:val="00851757"/>
    <w:rsid w:val="008A7C90"/>
    <w:rsid w:val="008C26E3"/>
    <w:rsid w:val="009001F2"/>
    <w:rsid w:val="00933309"/>
    <w:rsid w:val="00A16BB1"/>
    <w:rsid w:val="00B85408"/>
    <w:rsid w:val="00C3487D"/>
    <w:rsid w:val="00C4025A"/>
    <w:rsid w:val="00CB0455"/>
    <w:rsid w:val="00CF4301"/>
    <w:rsid w:val="00D003F1"/>
    <w:rsid w:val="00D24534"/>
    <w:rsid w:val="00DD1450"/>
    <w:rsid w:val="00E037AE"/>
    <w:rsid w:val="00EB0401"/>
    <w:rsid w:val="00EF635D"/>
    <w:rsid w:val="00FE6194"/>
    <w:rsid w:val="029DAFE5"/>
    <w:rsid w:val="05C9DE8A"/>
    <w:rsid w:val="0B4BE6C0"/>
    <w:rsid w:val="163D9601"/>
    <w:rsid w:val="1A557A28"/>
    <w:rsid w:val="2E560EAF"/>
    <w:rsid w:val="2FC16886"/>
    <w:rsid w:val="30BD5087"/>
    <w:rsid w:val="393FAF34"/>
    <w:rsid w:val="3B9AEDC4"/>
    <w:rsid w:val="3CDC2BA9"/>
    <w:rsid w:val="43171A98"/>
    <w:rsid w:val="45859809"/>
    <w:rsid w:val="4A59092C"/>
    <w:rsid w:val="4C9894F0"/>
    <w:rsid w:val="4E551E08"/>
    <w:rsid w:val="536DF3FE"/>
    <w:rsid w:val="6404D465"/>
    <w:rsid w:val="7165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87FD"/>
  <w15:chartTrackingRefBased/>
  <w15:docId w15:val="{9FC22822-AC04-437A-95FB-02AB6792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7C90"/>
  </w:style>
  <w:style w:type="paragraph" w:styleId="Heading1">
    <w:name w:val="heading 1"/>
    <w:basedOn w:val="Normal"/>
    <w:next w:val="Normal"/>
    <w:link w:val="Heading1Char"/>
    <w:uiPriority w:val="9"/>
    <w:qFormat/>
    <w:rsid w:val="008A7C9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A7C9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A7C9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8A7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C90"/>
    <w:rPr>
      <w:color w:val="605E5C"/>
      <w:shd w:val="clear" w:color="auto" w:fill="E1DFDD"/>
    </w:rPr>
  </w:style>
  <w:style w:type="character" w:styleId="authors-list-item" w:customStyle="1">
    <w:name w:val="authors-list-item"/>
    <w:basedOn w:val="DefaultParagraphFont"/>
    <w:rsid w:val="00360F47"/>
  </w:style>
  <w:style w:type="character" w:styleId="author-sup-separator" w:customStyle="1">
    <w:name w:val="author-sup-separator"/>
    <w:basedOn w:val="DefaultParagraphFont"/>
    <w:rsid w:val="00360F47"/>
  </w:style>
  <w:style w:type="character" w:styleId="comma" w:customStyle="1">
    <w:name w:val="comma"/>
    <w:basedOn w:val="DefaultParagraphFont"/>
    <w:rsid w:val="00360F47"/>
  </w:style>
  <w:style w:type="character" w:styleId="identifier" w:customStyle="1">
    <w:name w:val="identifier"/>
    <w:basedOn w:val="DefaultParagraphFont"/>
    <w:rsid w:val="00360F47"/>
  </w:style>
  <w:style w:type="character" w:styleId="id-label" w:customStyle="1">
    <w:name w:val="id-label"/>
    <w:basedOn w:val="DefaultParagraphFont"/>
    <w:rsid w:val="00360F47"/>
  </w:style>
  <w:style w:type="character" w:styleId="table-captionlabel" w:customStyle="1">
    <w:name w:val="table-caption__label"/>
    <w:basedOn w:val="DefaultParagraphFont"/>
    <w:rsid w:val="006E4326"/>
  </w:style>
  <w:style w:type="character" w:styleId="number" w:customStyle="1">
    <w:name w:val="number"/>
    <w:basedOn w:val="DefaultParagraphFont"/>
    <w:rsid w:val="006E4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7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62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theoncologist.onlinelibrary.wiley.com/doi/10.1002/onco.13602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doi.org/10.1002/onco.13602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FAD6358FF44797152258F9FF7A83" ma:contentTypeVersion="1" ma:contentTypeDescription="Create a new document." ma:contentTypeScope="" ma:versionID="fe005cc003bb5b4080769400e5f531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29B9DD-1787-4DAD-9C8F-D2F6C861820F}"/>
</file>

<file path=customXml/itemProps2.xml><?xml version="1.0" encoding="utf-8"?>
<ds:datastoreItem xmlns:ds="http://schemas.openxmlformats.org/officeDocument/2006/customXml" ds:itemID="{422B8E45-4B7B-44CA-883D-6EABF409C33D}"/>
</file>

<file path=customXml/itemProps3.xml><?xml version="1.0" encoding="utf-8"?>
<ds:datastoreItem xmlns:ds="http://schemas.openxmlformats.org/officeDocument/2006/customXml" ds:itemID="{AC888A28-5B10-48BE-B8D6-480C75C53C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E Parker</dc:creator>
  <cp:keywords/>
  <dc:description/>
  <cp:lastModifiedBy>Douglas A Corley</cp:lastModifiedBy>
  <cp:revision>3</cp:revision>
  <dcterms:created xsi:type="dcterms:W3CDTF">2021-01-07T16:15:00Z</dcterms:created>
  <dcterms:modified xsi:type="dcterms:W3CDTF">2021-03-15T01:28:05Z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0x0101000FA7FAD6358FF44797152258F9FF7A83</vt:lpwstr>
  </property>
</Properties>
</file>