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812DC" w14:textId="16111FA5" w:rsidR="1A557A28" w:rsidRDefault="005F5C6A" w:rsidP="4E551E08">
      <w:pPr>
        <w:rPr>
          <w:rFonts w:ascii="Calibri" w:eastAsia="Calibri" w:hAnsi="Calibri" w:cs="Calibri"/>
          <w:color w:val="4472C4" w:themeColor="accent1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color w:val="4472C4" w:themeColor="accent1"/>
          <w:sz w:val="28"/>
          <w:szCs w:val="28"/>
        </w:rPr>
        <w:t>O</w:t>
      </w:r>
      <w:r w:rsidR="00525DF7">
        <w:rPr>
          <w:rFonts w:ascii="Calibri" w:eastAsia="Calibri" w:hAnsi="Calibri" w:cs="Calibri"/>
          <w:color w:val="4472C4" w:themeColor="accent1"/>
          <w:sz w:val="28"/>
          <w:szCs w:val="28"/>
        </w:rPr>
        <w:t xml:space="preserve">pioid safety education associated with </w:t>
      </w:r>
      <w:r>
        <w:rPr>
          <w:rFonts w:ascii="Calibri" w:eastAsia="Calibri" w:hAnsi="Calibri" w:cs="Calibri"/>
          <w:color w:val="4472C4" w:themeColor="accent1"/>
          <w:sz w:val="28"/>
          <w:szCs w:val="28"/>
        </w:rPr>
        <w:t>decreased</w:t>
      </w:r>
      <w:r w:rsidR="00525DF7">
        <w:rPr>
          <w:rFonts w:ascii="Calibri" w:eastAsia="Calibri" w:hAnsi="Calibri" w:cs="Calibri"/>
          <w:color w:val="4472C4" w:themeColor="accent1"/>
          <w:sz w:val="28"/>
          <w:szCs w:val="28"/>
        </w:rPr>
        <w:t xml:space="preserve"> opioid prescribing </w:t>
      </w:r>
      <w:r>
        <w:rPr>
          <w:rFonts w:ascii="Calibri" w:eastAsia="Calibri" w:hAnsi="Calibri" w:cs="Calibri"/>
          <w:color w:val="4472C4" w:themeColor="accent1"/>
          <w:sz w:val="28"/>
          <w:szCs w:val="28"/>
        </w:rPr>
        <w:t xml:space="preserve">by emergency physicians </w:t>
      </w:r>
    </w:p>
    <w:p w14:paraId="53D43A45" w14:textId="51CD320A" w:rsidR="00525DF7" w:rsidRDefault="00525DF7" w:rsidP="00D24534">
      <w:pPr>
        <w:spacing w:after="0"/>
      </w:pPr>
      <w:r>
        <w:t>Mamata V Kene MD MPH, Mary E Reed DrPH, Abigail Eaton, Sunil Bhopale MD and Sameer Awsare MD</w:t>
      </w:r>
    </w:p>
    <w:p w14:paraId="2E2586B7" w14:textId="58CB4A44" w:rsidR="00525DF7" w:rsidRDefault="00525DF7" w:rsidP="00D24534">
      <w:pPr>
        <w:spacing w:after="0"/>
      </w:pPr>
    </w:p>
    <w:tbl>
      <w:tblPr>
        <w:tblStyle w:val="TableGrid"/>
        <w:tblpPr w:leftFromText="180" w:rightFromText="180" w:vertAnchor="page" w:horzAnchor="margin" w:tblpY="2581"/>
        <w:tblW w:w="10705" w:type="dxa"/>
        <w:tblLook w:val="04A0" w:firstRow="1" w:lastRow="0" w:firstColumn="1" w:lastColumn="0" w:noHBand="0" w:noVBand="1"/>
      </w:tblPr>
      <w:tblGrid>
        <w:gridCol w:w="1975"/>
        <w:gridCol w:w="8730"/>
      </w:tblGrid>
      <w:tr w:rsidR="0048655A" w:rsidRPr="008A7C90" w14:paraId="307289BF" w14:textId="77777777" w:rsidTr="00C73A94">
        <w:trPr>
          <w:trHeight w:val="816"/>
        </w:trPr>
        <w:tc>
          <w:tcPr>
            <w:tcW w:w="1975" w:type="dxa"/>
          </w:tcPr>
          <w:p w14:paraId="2C7E2D09" w14:textId="77777777" w:rsidR="0048655A" w:rsidRPr="008A7C90" w:rsidRDefault="0048655A" w:rsidP="0048655A">
            <w:pPr>
              <w:spacing w:line="259" w:lineRule="auto"/>
            </w:pPr>
            <w:bookmarkStart w:id="1" w:name="_Hlk54105970"/>
            <w:r w:rsidRPr="008A7C90">
              <w:t>Challenge</w:t>
            </w:r>
          </w:p>
        </w:tc>
        <w:tc>
          <w:tcPr>
            <w:tcW w:w="8730" w:type="dxa"/>
          </w:tcPr>
          <w:p w14:paraId="7F9273D4" w14:textId="5BB13204" w:rsidR="0048655A" w:rsidRPr="0031051B" w:rsidRDefault="00B32B27" w:rsidP="0048655A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To understand outcomes of initiatives to align opioid prescribing in the ED with best practices have been implemented in KPNC.</w:t>
            </w:r>
            <w:r w:rsidR="0048655A" w:rsidRPr="0031051B">
              <w:rPr>
                <w:b/>
                <w:bCs/>
              </w:rPr>
              <w:t xml:space="preserve">  </w:t>
            </w:r>
          </w:p>
        </w:tc>
      </w:tr>
      <w:tr w:rsidR="0048655A" w:rsidRPr="008A7C90" w14:paraId="67D435C8" w14:textId="77777777" w:rsidTr="00C73A94">
        <w:trPr>
          <w:trHeight w:val="1091"/>
        </w:trPr>
        <w:tc>
          <w:tcPr>
            <w:tcW w:w="1975" w:type="dxa"/>
          </w:tcPr>
          <w:p w14:paraId="351B366F" w14:textId="77777777" w:rsidR="0048655A" w:rsidRPr="008A7C90" w:rsidRDefault="0048655A" w:rsidP="0048655A">
            <w:pPr>
              <w:spacing w:line="259" w:lineRule="auto"/>
            </w:pPr>
            <w:r w:rsidRPr="008A7C90">
              <w:t>Existing Evidence</w:t>
            </w:r>
          </w:p>
        </w:tc>
        <w:tc>
          <w:tcPr>
            <w:tcW w:w="8730" w:type="dxa"/>
          </w:tcPr>
          <w:p w14:paraId="70041630" w14:textId="79502C5A" w:rsidR="0048655A" w:rsidRPr="008A7C90" w:rsidRDefault="00B32B27" w:rsidP="0048655A">
            <w:pPr>
              <w:spacing w:line="259" w:lineRule="auto"/>
            </w:pPr>
            <w:r>
              <w:t>Opioid prescribing in ED has been on the decline for the last decade. A KPNC specific ED opioid safety initiative encouraged emergency physicians to consider CDC-aligned best practice in prescribing opioids for painful conditions. Other settings have demonstrated effectiveness of similar initiatives.</w:t>
            </w:r>
          </w:p>
        </w:tc>
      </w:tr>
      <w:tr w:rsidR="0048655A" w:rsidRPr="008A7C90" w14:paraId="136E6453" w14:textId="77777777" w:rsidTr="00C73A94">
        <w:trPr>
          <w:trHeight w:val="262"/>
        </w:trPr>
        <w:tc>
          <w:tcPr>
            <w:tcW w:w="1975" w:type="dxa"/>
          </w:tcPr>
          <w:p w14:paraId="53202DB8" w14:textId="77777777" w:rsidR="0048655A" w:rsidRPr="008A7C90" w:rsidRDefault="0048655A" w:rsidP="0048655A">
            <w:pPr>
              <w:spacing w:line="259" w:lineRule="auto"/>
            </w:pPr>
            <w:r w:rsidRPr="008A7C90">
              <w:t>Target Population</w:t>
            </w:r>
          </w:p>
        </w:tc>
        <w:tc>
          <w:tcPr>
            <w:tcW w:w="8730" w:type="dxa"/>
          </w:tcPr>
          <w:p w14:paraId="1486D38C" w14:textId="162D3784" w:rsidR="0048655A" w:rsidRPr="008A7C90" w:rsidRDefault="00B32B27" w:rsidP="0048655A">
            <w:pPr>
              <w:spacing w:line="259" w:lineRule="auto"/>
            </w:pPr>
            <w:r>
              <w:t>ED patients in KPNC 2014-2018</w:t>
            </w:r>
          </w:p>
        </w:tc>
      </w:tr>
      <w:tr w:rsidR="0048655A" w:rsidRPr="008A7C90" w14:paraId="5B80BED5" w14:textId="77777777" w:rsidTr="00C73A94">
        <w:trPr>
          <w:trHeight w:val="276"/>
        </w:trPr>
        <w:tc>
          <w:tcPr>
            <w:tcW w:w="1975" w:type="dxa"/>
          </w:tcPr>
          <w:p w14:paraId="0D0B7C0D" w14:textId="77777777" w:rsidR="0048655A" w:rsidRPr="008A7C90" w:rsidRDefault="0048655A" w:rsidP="0048655A">
            <w:pPr>
              <w:spacing w:line="259" w:lineRule="auto"/>
            </w:pPr>
            <w:r w:rsidRPr="008A7C90">
              <w:t>Intervention or Exposure</w:t>
            </w:r>
          </w:p>
        </w:tc>
        <w:tc>
          <w:tcPr>
            <w:tcW w:w="8730" w:type="dxa"/>
          </w:tcPr>
          <w:p w14:paraId="0CA2C589" w14:textId="6AE8CD48" w:rsidR="0048655A" w:rsidRPr="008A7C90" w:rsidRDefault="00B32B27" w:rsidP="0048655A">
            <w:pPr>
              <w:spacing w:line="259" w:lineRule="auto"/>
            </w:pPr>
            <w:r>
              <w:t>The Opioid Safety Initiative was an education and feedback module rolled out in 2016. Pre- and post-evaluation of opioid prescribing by ED physicians</w:t>
            </w:r>
          </w:p>
        </w:tc>
      </w:tr>
      <w:tr w:rsidR="0048655A" w:rsidRPr="008A7C90" w14:paraId="13978FD3" w14:textId="77777777" w:rsidTr="00C73A94">
        <w:trPr>
          <w:trHeight w:val="2282"/>
        </w:trPr>
        <w:tc>
          <w:tcPr>
            <w:tcW w:w="1975" w:type="dxa"/>
          </w:tcPr>
          <w:p w14:paraId="7525D5B4" w14:textId="77777777" w:rsidR="0048655A" w:rsidRPr="00EF635D" w:rsidRDefault="0048655A" w:rsidP="0048655A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Outcomes/Key Findings</w:t>
            </w:r>
          </w:p>
        </w:tc>
        <w:tc>
          <w:tcPr>
            <w:tcW w:w="8730" w:type="dxa"/>
          </w:tcPr>
          <w:p w14:paraId="3CD35CB0" w14:textId="746F436A" w:rsidR="0048655A" w:rsidRPr="008A7C90" w:rsidRDefault="00B32B27" w:rsidP="0031051B">
            <w:pPr>
              <w:spacing w:line="259" w:lineRule="auto"/>
            </w:pPr>
            <w:r>
              <w:rPr>
                <w:b/>
                <w:bCs/>
              </w:rPr>
              <w:t>The Opioid Safety Initiative was associated with an immediate and sustained decline in opioid prescribing, overall and for key subgroups with acute extremity fracture and low back pain</w:t>
            </w:r>
            <w:r w:rsidR="00C73A94">
              <w:rPr>
                <w:b/>
                <w:bCs/>
              </w:rPr>
              <w:t xml:space="preserve">.  </w:t>
            </w:r>
            <w:r>
              <w:t xml:space="preserve"> From the start to end of the observation period, opioid prescribing declined 31% in the ED, with prescriptions for more than 20 tablets/3 </w:t>
            </w:r>
            <w:proofErr w:type="spellStart"/>
            <w:r>
              <w:t>days</w:t>
            </w:r>
            <w:proofErr w:type="spellEnd"/>
            <w:r>
              <w:t xml:space="preserve"> supply declining 65%. Whereas other systems report wide variation between highest and lowest quartiles of emergency physicians in opioid prescribing, our analysis demonstrated little variation (19% vs 21% lowest to highest quartile at the start of the observation period). </w:t>
            </w:r>
          </w:p>
        </w:tc>
      </w:tr>
      <w:tr w:rsidR="0048655A" w:rsidRPr="008A7C90" w14:paraId="62542513" w14:textId="77777777" w:rsidTr="00C73A94">
        <w:trPr>
          <w:trHeight w:val="816"/>
        </w:trPr>
        <w:tc>
          <w:tcPr>
            <w:tcW w:w="1975" w:type="dxa"/>
          </w:tcPr>
          <w:p w14:paraId="38755ADC" w14:textId="77777777" w:rsidR="0048655A" w:rsidRPr="00EF635D" w:rsidRDefault="0048655A" w:rsidP="0048655A">
            <w:pPr>
              <w:spacing w:line="259" w:lineRule="auto"/>
              <w:rPr>
                <w:b/>
                <w:bCs/>
              </w:rPr>
            </w:pPr>
            <w:r w:rsidRPr="00EF635D">
              <w:rPr>
                <w:b/>
                <w:bCs/>
              </w:rPr>
              <w:t>Resulting Action/Change</w:t>
            </w:r>
          </w:p>
        </w:tc>
        <w:tc>
          <w:tcPr>
            <w:tcW w:w="8730" w:type="dxa"/>
          </w:tcPr>
          <w:p w14:paraId="092B6F29" w14:textId="285D0863" w:rsidR="0048655A" w:rsidRPr="00EF635D" w:rsidRDefault="00B32B27" w:rsidP="0048655A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The Opioid Safety Initiative was associated with a decline in opioid prescribing in KPNC </w:t>
            </w:r>
            <w:proofErr w:type="spellStart"/>
            <w:r>
              <w:rPr>
                <w:b/>
                <w:bCs/>
              </w:rPr>
              <w:t>EDs.</w:t>
            </w:r>
            <w:proofErr w:type="spellEnd"/>
            <w:r>
              <w:rPr>
                <w:b/>
                <w:bCs/>
              </w:rPr>
              <w:t xml:space="preserve"> Continuing education to maintain this observed shift in practice may be helpful. </w:t>
            </w:r>
          </w:p>
        </w:tc>
      </w:tr>
      <w:tr w:rsidR="00CB0455" w:rsidRPr="008A7C90" w14:paraId="57800790" w14:textId="77777777" w:rsidTr="00C73A94">
        <w:trPr>
          <w:trHeight w:val="816"/>
        </w:trPr>
        <w:tc>
          <w:tcPr>
            <w:tcW w:w="1975" w:type="dxa"/>
          </w:tcPr>
          <w:p w14:paraId="6C4E04AC" w14:textId="161310DB" w:rsidR="00CB0455" w:rsidRPr="00EB0401" w:rsidRDefault="00CB0455" w:rsidP="0048655A">
            <w:r w:rsidRPr="00EB0401">
              <w:t>Additional Recommendations</w:t>
            </w:r>
          </w:p>
        </w:tc>
        <w:tc>
          <w:tcPr>
            <w:tcW w:w="8730" w:type="dxa"/>
          </w:tcPr>
          <w:p w14:paraId="08163871" w14:textId="1F826A0A" w:rsidR="00CB0455" w:rsidRPr="00EB0401" w:rsidRDefault="00B32B27" w:rsidP="0048655A">
            <w:r>
              <w:t xml:space="preserve">It is unknown whether the decrease in opioid prescribing observed among emergency physicians is associated with changes in downstream utilization or </w:t>
            </w:r>
            <w:r w:rsidR="005F5C6A">
              <w:t>long-term</w:t>
            </w:r>
            <w:r>
              <w:t xml:space="preserve"> opioid use, as well as changes in prescribing of alternate analgesic medications. We recommend further research to better understand health system impact of the changes in ED opioid prescribing. </w:t>
            </w:r>
          </w:p>
        </w:tc>
      </w:tr>
      <w:tr w:rsidR="0048655A" w:rsidRPr="008A7C90" w14:paraId="21F6FB6D" w14:textId="77777777" w:rsidTr="00C73A94">
        <w:trPr>
          <w:trHeight w:val="552"/>
        </w:trPr>
        <w:tc>
          <w:tcPr>
            <w:tcW w:w="1975" w:type="dxa"/>
          </w:tcPr>
          <w:p w14:paraId="511F380C" w14:textId="77777777" w:rsidR="0048655A" w:rsidRPr="008A7C90" w:rsidRDefault="0048655A" w:rsidP="0048655A">
            <w:pPr>
              <w:spacing w:line="259" w:lineRule="auto"/>
            </w:pPr>
            <w:r w:rsidRPr="008A7C90">
              <w:t>Implementation Tools</w:t>
            </w:r>
            <w:r w:rsidRPr="008A7C90">
              <w:tab/>
            </w:r>
          </w:p>
        </w:tc>
        <w:tc>
          <w:tcPr>
            <w:tcW w:w="8730" w:type="dxa"/>
          </w:tcPr>
          <w:p w14:paraId="35B5FEA6" w14:textId="741CC08C" w:rsidR="0048655A" w:rsidRPr="008A7C90" w:rsidRDefault="00B32B27" w:rsidP="0048655A">
            <w:pPr>
              <w:spacing w:line="259" w:lineRule="auto"/>
            </w:pPr>
            <w:r>
              <w:t>N/A</w:t>
            </w:r>
          </w:p>
        </w:tc>
      </w:tr>
      <w:tr w:rsidR="0048655A" w:rsidRPr="008A7C90" w14:paraId="02D4678D" w14:textId="77777777" w:rsidTr="00C73A94">
        <w:trPr>
          <w:trHeight w:val="552"/>
        </w:trPr>
        <w:tc>
          <w:tcPr>
            <w:tcW w:w="1975" w:type="dxa"/>
          </w:tcPr>
          <w:p w14:paraId="1B184543" w14:textId="77777777" w:rsidR="0048655A" w:rsidRPr="008A7C90" w:rsidRDefault="0048655A" w:rsidP="0048655A">
            <w:pPr>
              <w:spacing w:line="259" w:lineRule="auto"/>
            </w:pPr>
            <w:r w:rsidRPr="008A7C90">
              <w:t>Implementation Measurement</w:t>
            </w:r>
          </w:p>
        </w:tc>
        <w:tc>
          <w:tcPr>
            <w:tcW w:w="8730" w:type="dxa"/>
          </w:tcPr>
          <w:p w14:paraId="0D25EBD1" w14:textId="37AA8243" w:rsidR="0048655A" w:rsidRPr="008A7C90" w:rsidRDefault="00B32B27" w:rsidP="0048655A">
            <w:pPr>
              <w:spacing w:line="259" w:lineRule="auto"/>
            </w:pPr>
            <w:r>
              <w:t>N/A</w:t>
            </w:r>
          </w:p>
        </w:tc>
      </w:tr>
      <w:tr w:rsidR="0048655A" w:rsidRPr="008A7C90" w14:paraId="66558595" w14:textId="77777777" w:rsidTr="00C73A94">
        <w:trPr>
          <w:trHeight w:val="538"/>
        </w:trPr>
        <w:tc>
          <w:tcPr>
            <w:tcW w:w="1975" w:type="dxa"/>
          </w:tcPr>
          <w:p w14:paraId="29954FA9" w14:textId="77777777" w:rsidR="0048655A" w:rsidRPr="008A7C90" w:rsidRDefault="0048655A" w:rsidP="0048655A">
            <w:pPr>
              <w:spacing w:line="259" w:lineRule="auto"/>
            </w:pPr>
            <w:r w:rsidRPr="008A7C90">
              <w:t>Reference</w:t>
            </w:r>
          </w:p>
        </w:tc>
        <w:tc>
          <w:tcPr>
            <w:tcW w:w="8730" w:type="dxa"/>
          </w:tcPr>
          <w:p w14:paraId="601DCC27" w14:textId="3395F701" w:rsidR="0048655A" w:rsidRDefault="00C73A94" w:rsidP="0048655A">
            <w:pPr>
              <w:spacing w:line="259" w:lineRule="auto"/>
            </w:pPr>
            <w:r>
              <w:rPr>
                <w:noProof/>
              </w:rPr>
              <w:t>Figure, table, graphical abstract</w:t>
            </w:r>
            <w:r w:rsidR="00B32B27">
              <w:rPr>
                <w:noProof/>
              </w:rPr>
              <w:t xml:space="preserve">: mansucript and figures in development. </w:t>
            </w:r>
          </w:p>
          <w:p w14:paraId="722DE921" w14:textId="28D8F0DA" w:rsidR="0048655A" w:rsidRPr="008A7C90" w:rsidRDefault="0048655A" w:rsidP="0048655A">
            <w:pPr>
              <w:spacing w:line="259" w:lineRule="auto"/>
            </w:pPr>
            <w:proofErr w:type="spellStart"/>
            <w:r w:rsidRPr="008A7C90">
              <w:t>doi</w:t>
            </w:r>
            <w:proofErr w:type="spellEnd"/>
            <w:r w:rsidRPr="008A7C90">
              <w:t xml:space="preserve">: </w:t>
            </w:r>
          </w:p>
        </w:tc>
      </w:tr>
      <w:bookmarkEnd w:id="1"/>
    </w:tbl>
    <w:p w14:paraId="62800767" w14:textId="77777777" w:rsidR="00FE6194" w:rsidRDefault="00FE6194" w:rsidP="00C73A94">
      <w:pPr>
        <w:spacing w:after="0"/>
      </w:pPr>
    </w:p>
    <w:sectPr w:rsidR="00FE6194" w:rsidSect="00D245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0"/>
    <w:rsid w:val="000811DB"/>
    <w:rsid w:val="001D52BB"/>
    <w:rsid w:val="001E348B"/>
    <w:rsid w:val="002A1A00"/>
    <w:rsid w:val="0031051B"/>
    <w:rsid w:val="003D755D"/>
    <w:rsid w:val="003E27D1"/>
    <w:rsid w:val="003E34C5"/>
    <w:rsid w:val="0048655A"/>
    <w:rsid w:val="00514319"/>
    <w:rsid w:val="00525DF7"/>
    <w:rsid w:val="005F5C6A"/>
    <w:rsid w:val="006D32D2"/>
    <w:rsid w:val="0072563B"/>
    <w:rsid w:val="00777238"/>
    <w:rsid w:val="008131C8"/>
    <w:rsid w:val="00896327"/>
    <w:rsid w:val="008A7C90"/>
    <w:rsid w:val="009001F2"/>
    <w:rsid w:val="00933309"/>
    <w:rsid w:val="00A10EAF"/>
    <w:rsid w:val="00A16BB1"/>
    <w:rsid w:val="00B32B27"/>
    <w:rsid w:val="00C3487D"/>
    <w:rsid w:val="00C4025A"/>
    <w:rsid w:val="00C73A94"/>
    <w:rsid w:val="00CB0455"/>
    <w:rsid w:val="00CF4301"/>
    <w:rsid w:val="00D003F1"/>
    <w:rsid w:val="00D24534"/>
    <w:rsid w:val="00EB0401"/>
    <w:rsid w:val="00EF635D"/>
    <w:rsid w:val="00FE6194"/>
    <w:rsid w:val="0B4BE6C0"/>
    <w:rsid w:val="1A557A28"/>
    <w:rsid w:val="30BD5087"/>
    <w:rsid w:val="4E5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87FD"/>
  <w15:chartTrackingRefBased/>
  <w15:docId w15:val="{9FC22822-AC04-437A-95FB-02AB679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90"/>
  </w:style>
  <w:style w:type="paragraph" w:styleId="Heading1">
    <w:name w:val="heading 1"/>
    <w:basedOn w:val="Normal"/>
    <w:next w:val="Normal"/>
    <w:link w:val="Heading1Char"/>
    <w:uiPriority w:val="9"/>
    <w:qFormat/>
    <w:rsid w:val="008A7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A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D04089-2B5F-42DD-A97C-F1EA7D5666CD}"/>
</file>

<file path=customXml/itemProps2.xml><?xml version="1.0" encoding="utf-8"?>
<ds:datastoreItem xmlns:ds="http://schemas.openxmlformats.org/officeDocument/2006/customXml" ds:itemID="{422B8E45-4B7B-44CA-883D-6EABF409C33D}"/>
</file>

<file path=customXml/itemProps3.xml><?xml version="1.0" encoding="utf-8"?>
<ds:datastoreItem xmlns:ds="http://schemas.openxmlformats.org/officeDocument/2006/customXml" ds:itemID="{AC888A28-5B10-48BE-B8D6-480C75C53C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Cimone E Parker</cp:lastModifiedBy>
  <cp:revision>2</cp:revision>
  <dcterms:created xsi:type="dcterms:W3CDTF">2021-01-08T18:32:00Z</dcterms:created>
  <dcterms:modified xsi:type="dcterms:W3CDTF">2021-01-08T18:32:00Z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