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812DC" w14:textId="260A5661" w:rsidR="1A557A28" w:rsidRDefault="00831B00" w:rsidP="4E551E08">
      <w:pPr>
        <w:rPr>
          <w:rFonts w:ascii="Calibri" w:eastAsia="Calibri" w:hAnsi="Calibri" w:cs="Calibri"/>
          <w:color w:val="4472C4" w:themeColor="accent1"/>
          <w:sz w:val="28"/>
          <w:szCs w:val="28"/>
        </w:rPr>
      </w:pPr>
      <w:r>
        <w:rPr>
          <w:rFonts w:ascii="Calibri" w:eastAsia="Calibri" w:hAnsi="Calibri" w:cs="Calibri"/>
          <w:color w:val="4472C4" w:themeColor="accent1"/>
          <w:sz w:val="28"/>
          <w:szCs w:val="28"/>
        </w:rPr>
        <w:t>Within an integrated health care system, surgical specialties can implement telemedicine rapidly, equitably, and efficiently in the preoperative and postoperative encounters of patients with benign, urgent, and cancer diagnoses.</w:t>
      </w:r>
    </w:p>
    <w:p w14:paraId="7FCD574A" w14:textId="4BF2331B" w:rsidR="008A7C90" w:rsidRDefault="00D17DA3" w:rsidP="00D24534">
      <w:pPr>
        <w:spacing w:after="0"/>
      </w:pPr>
      <w:r>
        <w:t xml:space="preserve">Gillian </w:t>
      </w:r>
      <w:r w:rsidR="00831B00">
        <w:t>Kuehner MD, W</w:t>
      </w:r>
      <w:r>
        <w:t>eilu W</w:t>
      </w:r>
      <w:r w:rsidR="00831B00">
        <w:t xml:space="preserve">u </w:t>
      </w:r>
      <w:r>
        <w:t>MS</w:t>
      </w:r>
      <w:r w:rsidR="00831B00">
        <w:t xml:space="preserve">, </w:t>
      </w:r>
      <w:r>
        <w:t xml:space="preserve">Giye </w:t>
      </w:r>
      <w:r w:rsidR="00831B00">
        <w:t xml:space="preserve">Choe MD, </w:t>
      </w:r>
      <w:r>
        <w:t xml:space="preserve">Jeffrey </w:t>
      </w:r>
      <w:proofErr w:type="spellStart"/>
      <w:r w:rsidR="00831B00">
        <w:t>Douiaher</w:t>
      </w:r>
      <w:proofErr w:type="spellEnd"/>
      <w:r w:rsidR="00831B00">
        <w:t xml:space="preserve"> MD, </w:t>
      </w:r>
      <w:r>
        <w:t xml:space="preserve">Mary </w:t>
      </w:r>
      <w:r w:rsidR="00831B00">
        <w:t>Reed DrPH</w:t>
      </w:r>
    </w:p>
    <w:tbl>
      <w:tblPr>
        <w:tblStyle w:val="TableGrid"/>
        <w:tblpPr w:leftFromText="180" w:rightFromText="180" w:vertAnchor="page" w:horzAnchor="margin" w:tblpY="2581"/>
        <w:tblW w:w="10705" w:type="dxa"/>
        <w:tblLook w:val="04A0" w:firstRow="1" w:lastRow="0" w:firstColumn="1" w:lastColumn="0" w:noHBand="0" w:noVBand="1"/>
      </w:tblPr>
      <w:tblGrid>
        <w:gridCol w:w="1975"/>
        <w:gridCol w:w="8730"/>
      </w:tblGrid>
      <w:tr w:rsidR="0048655A" w:rsidRPr="008A7C90" w14:paraId="307289BF" w14:textId="77777777" w:rsidTr="00C73A94">
        <w:trPr>
          <w:trHeight w:val="816"/>
        </w:trPr>
        <w:tc>
          <w:tcPr>
            <w:tcW w:w="1975" w:type="dxa"/>
          </w:tcPr>
          <w:p w14:paraId="2C7E2D09" w14:textId="77777777" w:rsidR="0048655A" w:rsidRPr="008A7C90" w:rsidRDefault="0048655A" w:rsidP="0048655A">
            <w:pPr>
              <w:spacing w:line="259" w:lineRule="auto"/>
            </w:pPr>
            <w:bookmarkStart w:id="0" w:name="_Hlk54105970"/>
            <w:r w:rsidRPr="008A7C90">
              <w:t>Challenge</w:t>
            </w:r>
          </w:p>
        </w:tc>
        <w:tc>
          <w:tcPr>
            <w:tcW w:w="8730" w:type="dxa"/>
          </w:tcPr>
          <w:p w14:paraId="7F9273D4" w14:textId="16E1E9D7" w:rsidR="0048655A" w:rsidRPr="0031051B" w:rsidRDefault="00831B00" w:rsidP="0048655A">
            <w:pPr>
              <w:spacing w:line="259" w:lineRule="auto"/>
              <w:rPr>
                <w:b/>
                <w:bCs/>
              </w:rPr>
            </w:pPr>
            <w:r>
              <w:rPr>
                <w:b/>
                <w:bCs/>
              </w:rPr>
              <w:t>Assess patient and provider characteristics associated with telemedicine uptake, including variables such as surgical subspecialty, surgical acuity (benign, urgent, and cancer), and determine predictors of and barriers to telemedicine usage before and after COVID-19 Shelter in Place (SIP) mandates.</w:t>
            </w:r>
          </w:p>
        </w:tc>
      </w:tr>
      <w:tr w:rsidR="0048655A" w:rsidRPr="008A7C90" w14:paraId="67D435C8" w14:textId="77777777" w:rsidTr="00C73A94">
        <w:trPr>
          <w:trHeight w:val="1091"/>
        </w:trPr>
        <w:tc>
          <w:tcPr>
            <w:tcW w:w="1975" w:type="dxa"/>
          </w:tcPr>
          <w:p w14:paraId="351B366F" w14:textId="77777777" w:rsidR="0048655A" w:rsidRPr="008A7C90" w:rsidRDefault="0048655A" w:rsidP="0048655A">
            <w:pPr>
              <w:spacing w:line="259" w:lineRule="auto"/>
            </w:pPr>
            <w:r w:rsidRPr="008A7C90">
              <w:t>Existing Evidence</w:t>
            </w:r>
          </w:p>
        </w:tc>
        <w:tc>
          <w:tcPr>
            <w:tcW w:w="8730" w:type="dxa"/>
          </w:tcPr>
          <w:p w14:paraId="70041630" w14:textId="306A0618" w:rsidR="0048655A" w:rsidRPr="008A7C90" w:rsidRDefault="00831B00" w:rsidP="0048655A">
            <w:pPr>
              <w:spacing w:line="259" w:lineRule="auto"/>
            </w:pPr>
            <w:r>
              <w:t>Telemedicine has the potential to provide high-quality, rapid, and convenient communication between providers and patients. However, significant obstacles have hindered widespread adoption of telemedicine.</w:t>
            </w:r>
          </w:p>
        </w:tc>
      </w:tr>
      <w:tr w:rsidR="0048655A" w:rsidRPr="008A7C90" w14:paraId="136E6453" w14:textId="77777777" w:rsidTr="00C73A94">
        <w:trPr>
          <w:trHeight w:val="262"/>
        </w:trPr>
        <w:tc>
          <w:tcPr>
            <w:tcW w:w="1975" w:type="dxa"/>
          </w:tcPr>
          <w:p w14:paraId="53202DB8" w14:textId="77777777" w:rsidR="0048655A" w:rsidRPr="008A7C90" w:rsidRDefault="0048655A" w:rsidP="0048655A">
            <w:pPr>
              <w:spacing w:line="259" w:lineRule="auto"/>
            </w:pPr>
            <w:r w:rsidRPr="008A7C90">
              <w:t>Target Population</w:t>
            </w:r>
          </w:p>
        </w:tc>
        <w:tc>
          <w:tcPr>
            <w:tcW w:w="8730" w:type="dxa"/>
          </w:tcPr>
          <w:p w14:paraId="1486D38C" w14:textId="114D758B" w:rsidR="0048655A" w:rsidRPr="008A7C90" w:rsidRDefault="00831B00" w:rsidP="0048655A">
            <w:pPr>
              <w:spacing w:line="259" w:lineRule="auto"/>
            </w:pPr>
            <w:r>
              <w:t>Patients referred to surgery who underwent a procedure or operation</w:t>
            </w:r>
          </w:p>
        </w:tc>
      </w:tr>
      <w:tr w:rsidR="0048655A" w:rsidRPr="008A7C90" w14:paraId="5B80BED5" w14:textId="77777777" w:rsidTr="00C73A94">
        <w:trPr>
          <w:trHeight w:val="276"/>
        </w:trPr>
        <w:tc>
          <w:tcPr>
            <w:tcW w:w="1975" w:type="dxa"/>
          </w:tcPr>
          <w:p w14:paraId="0D0B7C0D" w14:textId="77777777" w:rsidR="0048655A" w:rsidRPr="008A7C90" w:rsidRDefault="0048655A" w:rsidP="0048655A">
            <w:pPr>
              <w:spacing w:line="259" w:lineRule="auto"/>
            </w:pPr>
            <w:r w:rsidRPr="008A7C90">
              <w:t>Intervention or Exposure</w:t>
            </w:r>
          </w:p>
        </w:tc>
        <w:tc>
          <w:tcPr>
            <w:tcW w:w="8730" w:type="dxa"/>
          </w:tcPr>
          <w:p w14:paraId="0CA2C589" w14:textId="4E14B9B2" w:rsidR="0048655A" w:rsidRPr="008A7C90" w:rsidRDefault="00831B00" w:rsidP="0048655A">
            <w:pPr>
              <w:spacing w:line="259" w:lineRule="auto"/>
            </w:pPr>
            <w:r>
              <w:t>Implementation and utilization of telemedicine in surgical subspecialties before and after SIP mandate.</w:t>
            </w:r>
          </w:p>
        </w:tc>
      </w:tr>
      <w:tr w:rsidR="0048655A" w:rsidRPr="008A7C90" w14:paraId="13978FD3" w14:textId="77777777" w:rsidTr="00C73A94">
        <w:trPr>
          <w:trHeight w:val="2282"/>
        </w:trPr>
        <w:tc>
          <w:tcPr>
            <w:tcW w:w="1975" w:type="dxa"/>
          </w:tcPr>
          <w:p w14:paraId="7525D5B4" w14:textId="77777777" w:rsidR="0048655A" w:rsidRPr="00EF635D" w:rsidRDefault="0048655A" w:rsidP="0048655A">
            <w:pPr>
              <w:spacing w:line="259" w:lineRule="auto"/>
              <w:rPr>
                <w:b/>
                <w:bCs/>
              </w:rPr>
            </w:pPr>
            <w:r w:rsidRPr="00EF635D">
              <w:rPr>
                <w:b/>
                <w:bCs/>
              </w:rPr>
              <w:t>Outcomes/Key Findings</w:t>
            </w:r>
          </w:p>
        </w:tc>
        <w:tc>
          <w:tcPr>
            <w:tcW w:w="8730" w:type="dxa"/>
          </w:tcPr>
          <w:p w14:paraId="4196511E" w14:textId="77777777" w:rsidR="00831B00" w:rsidRDefault="00831B00" w:rsidP="0031051B">
            <w:pPr>
              <w:spacing w:line="259" w:lineRule="auto"/>
              <w:rPr>
                <w:b/>
                <w:bCs/>
              </w:rPr>
            </w:pPr>
            <w:r>
              <w:rPr>
                <w:b/>
                <w:bCs/>
              </w:rPr>
              <w:t xml:space="preserve">We found a rapid shift to telemedicine usage after SIP across a spectrum of surgical diagnoses and acuity, without significant identifiable provider or patient barriers. </w:t>
            </w:r>
          </w:p>
          <w:p w14:paraId="3CD35CB0" w14:textId="30796702" w:rsidR="0048655A" w:rsidRPr="008A7C90" w:rsidRDefault="00831B00" w:rsidP="0031051B">
            <w:pPr>
              <w:spacing w:line="259" w:lineRule="auto"/>
            </w:pPr>
            <w:r>
              <w:t>Most likely, a pre-existing infrastructure supporting telemedicine facilitated the transition from mainly in-person visits to telemedicine visits. It is reassuring to note that usage of telemedicine on average allowed timely care in patients who proceeded with surgery.</w:t>
            </w:r>
            <w:r w:rsidR="0048655A" w:rsidRPr="008A7C90">
              <w:t xml:space="preserve"> </w:t>
            </w:r>
          </w:p>
        </w:tc>
      </w:tr>
      <w:tr w:rsidR="0048655A" w:rsidRPr="008A7C90" w14:paraId="62542513" w14:textId="77777777" w:rsidTr="00C73A94">
        <w:trPr>
          <w:trHeight w:val="816"/>
        </w:trPr>
        <w:tc>
          <w:tcPr>
            <w:tcW w:w="1975" w:type="dxa"/>
          </w:tcPr>
          <w:p w14:paraId="38755ADC" w14:textId="77777777" w:rsidR="0048655A" w:rsidRPr="00EF635D" w:rsidRDefault="0048655A" w:rsidP="0048655A">
            <w:pPr>
              <w:spacing w:line="259" w:lineRule="auto"/>
              <w:rPr>
                <w:b/>
                <w:bCs/>
              </w:rPr>
            </w:pPr>
            <w:r w:rsidRPr="00EF635D">
              <w:rPr>
                <w:b/>
                <w:bCs/>
              </w:rPr>
              <w:t>Resulting Action/Change</w:t>
            </w:r>
          </w:p>
        </w:tc>
        <w:tc>
          <w:tcPr>
            <w:tcW w:w="8730" w:type="dxa"/>
          </w:tcPr>
          <w:p w14:paraId="092B6F29" w14:textId="45DC6F66" w:rsidR="0048655A" w:rsidRPr="00EF635D" w:rsidRDefault="00831B00" w:rsidP="0048655A">
            <w:pPr>
              <w:spacing w:line="259" w:lineRule="auto"/>
              <w:rPr>
                <w:b/>
                <w:bCs/>
              </w:rPr>
            </w:pPr>
            <w:r>
              <w:rPr>
                <w:b/>
                <w:bCs/>
              </w:rPr>
              <w:t>Surgical specialties continue to use telemedicine for preoperative and postoperative encounters after SIP mandate lifted</w:t>
            </w:r>
            <w:r w:rsidR="00956A86">
              <w:rPr>
                <w:b/>
                <w:bCs/>
              </w:rPr>
              <w:t xml:space="preserve"> and have developed tools to facilitate virtual consultations.</w:t>
            </w:r>
          </w:p>
        </w:tc>
      </w:tr>
      <w:tr w:rsidR="00CB0455" w:rsidRPr="008A7C90" w14:paraId="57800790" w14:textId="77777777" w:rsidTr="00C73A94">
        <w:trPr>
          <w:trHeight w:val="816"/>
        </w:trPr>
        <w:tc>
          <w:tcPr>
            <w:tcW w:w="1975" w:type="dxa"/>
          </w:tcPr>
          <w:p w14:paraId="6C4E04AC" w14:textId="161310DB" w:rsidR="00CB0455" w:rsidRPr="00EB0401" w:rsidRDefault="00CB0455" w:rsidP="0048655A">
            <w:r w:rsidRPr="00EB0401">
              <w:t>Additional Recommendations</w:t>
            </w:r>
          </w:p>
        </w:tc>
        <w:tc>
          <w:tcPr>
            <w:tcW w:w="8730" w:type="dxa"/>
          </w:tcPr>
          <w:p w14:paraId="08163871" w14:textId="4A39AE46" w:rsidR="00CB0455" w:rsidRPr="00EB0401" w:rsidRDefault="00CB0455" w:rsidP="0048655A"/>
        </w:tc>
      </w:tr>
      <w:tr w:rsidR="0048655A" w:rsidRPr="008A7C90" w14:paraId="21F6FB6D" w14:textId="77777777" w:rsidTr="00C73A94">
        <w:trPr>
          <w:trHeight w:val="552"/>
        </w:trPr>
        <w:tc>
          <w:tcPr>
            <w:tcW w:w="1975" w:type="dxa"/>
          </w:tcPr>
          <w:p w14:paraId="511F380C" w14:textId="77777777" w:rsidR="0048655A" w:rsidRPr="008A7C90" w:rsidRDefault="0048655A" w:rsidP="0048655A">
            <w:pPr>
              <w:spacing w:line="259" w:lineRule="auto"/>
            </w:pPr>
            <w:r w:rsidRPr="008A7C90">
              <w:t>Implementation Tools</w:t>
            </w:r>
            <w:r w:rsidRPr="008A7C90">
              <w:tab/>
            </w:r>
          </w:p>
        </w:tc>
        <w:tc>
          <w:tcPr>
            <w:tcW w:w="8730" w:type="dxa"/>
          </w:tcPr>
          <w:p w14:paraId="35B5FEA6" w14:textId="66B61504" w:rsidR="0048655A" w:rsidRPr="008A7C90" w:rsidRDefault="00956A86" w:rsidP="0048655A">
            <w:pPr>
              <w:spacing w:line="259" w:lineRule="auto"/>
            </w:pPr>
            <w:r>
              <w:t xml:space="preserve">Disseminate </w:t>
            </w:r>
            <w:r w:rsidR="00F139E3">
              <w:t xml:space="preserve">study </w:t>
            </w:r>
            <w:r>
              <w:t xml:space="preserve">findings through regional surgical meetings and </w:t>
            </w:r>
            <w:r w:rsidR="00F139E3">
              <w:t>TPMG research forums</w:t>
            </w:r>
          </w:p>
        </w:tc>
      </w:tr>
      <w:tr w:rsidR="0048655A" w:rsidRPr="008A7C90" w14:paraId="02D4678D" w14:textId="77777777" w:rsidTr="00C73A94">
        <w:trPr>
          <w:trHeight w:val="552"/>
        </w:trPr>
        <w:tc>
          <w:tcPr>
            <w:tcW w:w="1975" w:type="dxa"/>
          </w:tcPr>
          <w:p w14:paraId="1B184543" w14:textId="77777777" w:rsidR="0048655A" w:rsidRPr="008A7C90" w:rsidRDefault="0048655A" w:rsidP="0048655A">
            <w:pPr>
              <w:spacing w:line="259" w:lineRule="auto"/>
            </w:pPr>
            <w:r w:rsidRPr="008A7C90">
              <w:t>Implementation Measurement</w:t>
            </w:r>
          </w:p>
        </w:tc>
        <w:tc>
          <w:tcPr>
            <w:tcW w:w="8730" w:type="dxa"/>
          </w:tcPr>
          <w:p w14:paraId="0D25EBD1" w14:textId="44364009" w:rsidR="0048655A" w:rsidRPr="008A7C90" w:rsidRDefault="00956A86" w:rsidP="0048655A">
            <w:pPr>
              <w:spacing w:line="259" w:lineRule="auto"/>
            </w:pPr>
            <w:r>
              <w:t>Regional dashboards continue to track telemedicine usage</w:t>
            </w:r>
          </w:p>
        </w:tc>
      </w:tr>
      <w:tr w:rsidR="0048655A" w:rsidRPr="008A7C90" w14:paraId="66558595" w14:textId="77777777" w:rsidTr="00C73A94">
        <w:trPr>
          <w:trHeight w:val="538"/>
        </w:trPr>
        <w:tc>
          <w:tcPr>
            <w:tcW w:w="1975" w:type="dxa"/>
          </w:tcPr>
          <w:p w14:paraId="29954FA9" w14:textId="77777777" w:rsidR="0048655A" w:rsidRPr="008A7C90" w:rsidRDefault="0048655A" w:rsidP="0048655A">
            <w:pPr>
              <w:spacing w:line="259" w:lineRule="auto"/>
            </w:pPr>
            <w:r w:rsidRPr="008A7C90">
              <w:t>Reference</w:t>
            </w:r>
          </w:p>
        </w:tc>
        <w:tc>
          <w:tcPr>
            <w:tcW w:w="8730" w:type="dxa"/>
          </w:tcPr>
          <w:p w14:paraId="722DE921" w14:textId="0FFCACB2" w:rsidR="0048655A" w:rsidRPr="008A7C90" w:rsidRDefault="00F139E3" w:rsidP="0048655A">
            <w:pPr>
              <w:spacing w:line="259" w:lineRule="auto"/>
            </w:pPr>
            <w:r>
              <w:t>See next page</w:t>
            </w:r>
          </w:p>
        </w:tc>
      </w:tr>
      <w:bookmarkEnd w:id="0"/>
    </w:tbl>
    <w:p w14:paraId="62800767" w14:textId="23BA7B8B" w:rsidR="00FE6194" w:rsidRDefault="00FE6194" w:rsidP="00C73A94">
      <w:pPr>
        <w:spacing w:after="0"/>
      </w:pPr>
    </w:p>
    <w:p w14:paraId="442253BF" w14:textId="73F38E77" w:rsidR="00F139E3" w:rsidRDefault="00F139E3" w:rsidP="00C73A94">
      <w:pPr>
        <w:spacing w:after="0"/>
      </w:pPr>
    </w:p>
    <w:p w14:paraId="61AD6164" w14:textId="537E2466" w:rsidR="00F139E3" w:rsidRDefault="00F139E3" w:rsidP="00C73A94">
      <w:pPr>
        <w:spacing w:after="0"/>
      </w:pPr>
    </w:p>
    <w:p w14:paraId="29474C8D" w14:textId="2F507B7D" w:rsidR="00F139E3" w:rsidRDefault="00F139E3" w:rsidP="00C73A94">
      <w:pPr>
        <w:spacing w:after="0"/>
      </w:pPr>
    </w:p>
    <w:p w14:paraId="3D9E4214" w14:textId="7B59C0AB" w:rsidR="00F139E3" w:rsidRDefault="00F139E3" w:rsidP="00C73A94">
      <w:pPr>
        <w:spacing w:after="0"/>
      </w:pPr>
    </w:p>
    <w:p w14:paraId="3D41644C" w14:textId="10B17AF9" w:rsidR="00F139E3" w:rsidRDefault="00F139E3" w:rsidP="00C73A94">
      <w:pPr>
        <w:spacing w:after="0"/>
      </w:pPr>
    </w:p>
    <w:p w14:paraId="03C76140" w14:textId="12EA8FF9" w:rsidR="00F139E3" w:rsidRDefault="00F139E3" w:rsidP="00C73A94">
      <w:pPr>
        <w:spacing w:after="0"/>
      </w:pPr>
    </w:p>
    <w:p w14:paraId="4BA1EE04" w14:textId="1E34EFE3" w:rsidR="00F139E3" w:rsidRDefault="00F139E3" w:rsidP="00C73A94">
      <w:pPr>
        <w:spacing w:after="0"/>
      </w:pPr>
    </w:p>
    <w:p w14:paraId="6FE3A889" w14:textId="0BC57E24" w:rsidR="00F139E3" w:rsidRDefault="00F139E3" w:rsidP="00C73A94">
      <w:pPr>
        <w:spacing w:after="0"/>
      </w:pPr>
    </w:p>
    <w:p w14:paraId="3284F3FC" w14:textId="3190DA46" w:rsidR="00F139E3" w:rsidRDefault="00F139E3" w:rsidP="00C73A94">
      <w:pPr>
        <w:spacing w:after="0"/>
      </w:pPr>
    </w:p>
    <w:p w14:paraId="1D126D19" w14:textId="66F01E5D" w:rsidR="00F139E3" w:rsidRDefault="00F139E3" w:rsidP="00C73A94">
      <w:pPr>
        <w:spacing w:after="0"/>
      </w:pPr>
    </w:p>
    <w:p w14:paraId="24C9BE2A" w14:textId="6A9105B5" w:rsidR="00F139E3" w:rsidRDefault="00F139E3" w:rsidP="00C73A94">
      <w:pPr>
        <w:spacing w:after="0"/>
      </w:pPr>
    </w:p>
    <w:p w14:paraId="5894D049" w14:textId="6007710F" w:rsidR="00F139E3" w:rsidRDefault="00F139E3" w:rsidP="00C73A94">
      <w:pPr>
        <w:spacing w:after="0"/>
      </w:pPr>
    </w:p>
    <w:p w14:paraId="188945E9" w14:textId="6D8F009C" w:rsidR="00F139E3" w:rsidRDefault="00F139E3" w:rsidP="00C73A94">
      <w:pPr>
        <w:spacing w:after="0"/>
      </w:pPr>
      <w:r>
        <w:rPr>
          <w:noProof/>
        </w:rPr>
        <w:lastRenderedPageBreak/>
        <w:drawing>
          <wp:inline distT="0" distB="0" distL="0" distR="0" wp14:anchorId="22175CD5" wp14:editId="1173DECE">
            <wp:extent cx="6858000" cy="367097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3670973"/>
                    </a:xfrm>
                    <a:prstGeom prst="rect">
                      <a:avLst/>
                    </a:prstGeom>
                    <a:noFill/>
                  </pic:spPr>
                </pic:pic>
              </a:graphicData>
            </a:graphic>
          </wp:inline>
        </w:drawing>
      </w:r>
    </w:p>
    <w:sectPr w:rsidR="00F139E3" w:rsidSect="00D245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90"/>
    <w:rsid w:val="000811DB"/>
    <w:rsid w:val="001D52BB"/>
    <w:rsid w:val="001E348B"/>
    <w:rsid w:val="002A1A00"/>
    <w:rsid w:val="0031051B"/>
    <w:rsid w:val="003D755D"/>
    <w:rsid w:val="003E27D1"/>
    <w:rsid w:val="003E34C5"/>
    <w:rsid w:val="0048655A"/>
    <w:rsid w:val="00514319"/>
    <w:rsid w:val="006D32D2"/>
    <w:rsid w:val="0072563B"/>
    <w:rsid w:val="00777238"/>
    <w:rsid w:val="008131C8"/>
    <w:rsid w:val="00831B00"/>
    <w:rsid w:val="008A7C90"/>
    <w:rsid w:val="009001F2"/>
    <w:rsid w:val="00933309"/>
    <w:rsid w:val="00956A86"/>
    <w:rsid w:val="00A16BB1"/>
    <w:rsid w:val="00AE21BB"/>
    <w:rsid w:val="00C3487D"/>
    <w:rsid w:val="00C4025A"/>
    <w:rsid w:val="00C73A94"/>
    <w:rsid w:val="00CB0455"/>
    <w:rsid w:val="00CF4301"/>
    <w:rsid w:val="00D003F1"/>
    <w:rsid w:val="00D17DA3"/>
    <w:rsid w:val="00D24534"/>
    <w:rsid w:val="00EB0401"/>
    <w:rsid w:val="00EF635D"/>
    <w:rsid w:val="00F139E3"/>
    <w:rsid w:val="00FE6194"/>
    <w:rsid w:val="0B4BE6C0"/>
    <w:rsid w:val="1A557A28"/>
    <w:rsid w:val="30BD5087"/>
    <w:rsid w:val="4E5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87FD"/>
  <w15:chartTrackingRefBased/>
  <w15:docId w15:val="{9FC22822-AC04-437A-95FB-02AB679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0"/>
  </w:style>
  <w:style w:type="paragraph" w:styleId="Heading1">
    <w:name w:val="heading 1"/>
    <w:basedOn w:val="Normal"/>
    <w:next w:val="Normal"/>
    <w:link w:val="Heading1Char"/>
    <w:uiPriority w:val="9"/>
    <w:qFormat/>
    <w:rsid w:val="008A7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C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7C90"/>
    <w:rPr>
      <w:color w:val="0563C1" w:themeColor="hyperlink"/>
      <w:u w:val="single"/>
    </w:rPr>
  </w:style>
  <w:style w:type="character" w:styleId="UnresolvedMention">
    <w:name w:val="Unresolved Mention"/>
    <w:basedOn w:val="DefaultParagraphFont"/>
    <w:uiPriority w:val="99"/>
    <w:semiHidden/>
    <w:unhideWhenUsed/>
    <w:rsid w:val="008A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7FAD6358FF44797152258F9FF7A83" ma:contentTypeVersion="1" ma:contentTypeDescription="Create a new document." ma:contentTypeScope="" ma:versionID="fe005cc003bb5b4080769400e5f5313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96B262-40CE-4E2C-854C-F80009E50932}"/>
</file>

<file path=customXml/itemProps2.xml><?xml version="1.0" encoding="utf-8"?>
<ds:datastoreItem xmlns:ds="http://schemas.openxmlformats.org/officeDocument/2006/customXml" ds:itemID="{422B8E45-4B7B-44CA-883D-6EABF409C33D}"/>
</file>

<file path=customXml/itemProps3.xml><?xml version="1.0" encoding="utf-8"?>
<ds:datastoreItem xmlns:ds="http://schemas.openxmlformats.org/officeDocument/2006/customXml" ds:itemID="{AC888A28-5B10-48BE-B8D6-480C75C53C84}"/>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Cimone E Parker</dc:creator>
  <cp:keywords/>
  <dc:description/>
  <cp:lastModifiedBy>Gillian E Kuehner</cp:lastModifiedBy>
  <cp:revision>2</cp:revision>
  <dcterms:created xsi:type="dcterms:W3CDTF">2021-12-17T04:37:00Z</dcterms:created>
  <dcterms:modified xsi:type="dcterms:W3CDTF">2021-12-17T04:37:00Z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0x0101000FA7FAD6358FF44797152258F9FF7A83</vt:lpwstr>
  </property>
</Properties>
</file>