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2EE3F6FC" w:rsidR="1A557A28" w:rsidRDefault="000D08AA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Eating</w:t>
      </w:r>
      <w:r w:rsidR="00DC3FC1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disorders in children and adolescents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: </w:t>
      </w:r>
      <w:r w:rsidR="006506F5">
        <w:rPr>
          <w:rFonts w:ascii="Calibri" w:eastAsia="Calibri" w:hAnsi="Calibri" w:cs="Calibri"/>
          <w:color w:val="4472C4" w:themeColor="accent1"/>
          <w:sz w:val="28"/>
          <w:szCs w:val="28"/>
        </w:rPr>
        <w:t>How many</w:t>
      </w:r>
      <w:r w:rsidR="00E3271C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patients do we have?</w:t>
      </w:r>
    </w:p>
    <w:p w14:paraId="7FCD574A" w14:textId="514ED667" w:rsidR="008A7C90" w:rsidRDefault="00FF4FAE" w:rsidP="00D24534">
      <w:pPr>
        <w:spacing w:after="0"/>
      </w:pPr>
      <w:r>
        <w:t>Josephine S. Lau, MD, MPH</w:t>
      </w:r>
      <w:r w:rsidR="00DE65FE">
        <w:t>, Stephen Uong, M</w:t>
      </w:r>
      <w:r w:rsidR="002C5789">
        <w:t>PH</w:t>
      </w:r>
      <w:r w:rsidR="00DE65FE">
        <w:t>, Lauren Hartman, MD, Julie Schmittdiel, Ph</w:t>
      </w:r>
      <w:r w:rsidR="000447E3">
        <w:t>D</w:t>
      </w:r>
    </w:p>
    <w:tbl>
      <w:tblPr>
        <w:tblStyle w:val="TableGrid"/>
        <w:tblpPr w:leftFromText="180" w:rightFromText="180" w:vertAnchor="page" w:horzAnchor="margin" w:tblpY="2581"/>
        <w:tblW w:w="10790" w:type="dxa"/>
        <w:tblLook w:val="04A0" w:firstRow="1" w:lastRow="0" w:firstColumn="1" w:lastColumn="0" w:noHBand="0" w:noVBand="1"/>
      </w:tblPr>
      <w:tblGrid>
        <w:gridCol w:w="3551"/>
        <w:gridCol w:w="7239"/>
      </w:tblGrid>
      <w:tr w:rsidR="0048655A" w:rsidRPr="008A7C90" w14:paraId="307289BF" w14:textId="77777777" w:rsidTr="00545B51">
        <w:trPr>
          <w:trHeight w:val="890"/>
        </w:trPr>
        <w:tc>
          <w:tcPr>
            <w:tcW w:w="2842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7948" w:type="dxa"/>
          </w:tcPr>
          <w:p w14:paraId="7F9273D4" w14:textId="075DEFA3" w:rsidR="0048655A" w:rsidRPr="0031051B" w:rsidRDefault="002E4138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Recent advancement</w:t>
            </w:r>
            <w:r w:rsidR="0038234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in pediatric eating disorder</w:t>
            </w:r>
            <w:r w:rsidR="00BE57C9">
              <w:rPr>
                <w:b/>
                <w:bCs/>
              </w:rPr>
              <w:t xml:space="preserve"> outpatient and inpatient treatments</w:t>
            </w:r>
            <w:r>
              <w:rPr>
                <w:b/>
                <w:bCs/>
              </w:rPr>
              <w:t xml:space="preserve"> </w:t>
            </w:r>
            <w:r w:rsidR="00382345">
              <w:rPr>
                <w:b/>
                <w:bCs/>
              </w:rPr>
              <w:t>improve</w:t>
            </w:r>
            <w:r w:rsidR="00DC3FC1">
              <w:rPr>
                <w:b/>
                <w:bCs/>
              </w:rPr>
              <w:t>d</w:t>
            </w:r>
            <w:r w:rsidR="007A3026">
              <w:rPr>
                <w:b/>
                <w:bCs/>
              </w:rPr>
              <w:t xml:space="preserve"> </w:t>
            </w:r>
            <w:r w:rsidR="00382345">
              <w:rPr>
                <w:b/>
                <w:bCs/>
              </w:rPr>
              <w:t>recovery rate and long-term prognosis</w:t>
            </w:r>
            <w:r w:rsidR="00BE57C9">
              <w:rPr>
                <w:b/>
                <w:bCs/>
              </w:rPr>
              <w:t xml:space="preserve">, but there </w:t>
            </w:r>
            <w:r w:rsidR="00767B4A">
              <w:rPr>
                <w:b/>
                <w:bCs/>
              </w:rPr>
              <w:t>are</w:t>
            </w:r>
            <w:r w:rsidR="00BE57C9">
              <w:rPr>
                <w:b/>
                <w:bCs/>
              </w:rPr>
              <w:t xml:space="preserve"> no data on how many children</w:t>
            </w:r>
            <w:r w:rsidR="00DC3FC1">
              <w:rPr>
                <w:b/>
                <w:bCs/>
              </w:rPr>
              <w:t xml:space="preserve"> may </w:t>
            </w:r>
            <w:r w:rsidR="00545B51">
              <w:rPr>
                <w:b/>
                <w:bCs/>
              </w:rPr>
              <w:t>be eligible for</w:t>
            </w:r>
            <w:r w:rsidR="00DC3FC1">
              <w:rPr>
                <w:b/>
                <w:bCs/>
              </w:rPr>
              <w:t xml:space="preserve"> these treatments.</w:t>
            </w:r>
          </w:p>
        </w:tc>
      </w:tr>
      <w:tr w:rsidR="0048655A" w:rsidRPr="008A7C90" w14:paraId="67D435C8" w14:textId="77777777" w:rsidTr="000447E3">
        <w:trPr>
          <w:trHeight w:val="1020"/>
        </w:trPr>
        <w:tc>
          <w:tcPr>
            <w:tcW w:w="2842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7948" w:type="dxa"/>
          </w:tcPr>
          <w:p w14:paraId="70041630" w14:textId="5B4E09B3" w:rsidR="0048655A" w:rsidRPr="008A7C90" w:rsidRDefault="00985F02" w:rsidP="0048655A">
            <w:pPr>
              <w:spacing w:line="259" w:lineRule="auto"/>
            </w:pPr>
            <w:r>
              <w:t xml:space="preserve">Based on study with small sample sizes, the incidence </w:t>
            </w:r>
            <w:r w:rsidR="00714333">
              <w:t>of pediatric eating disorders in girls are 104, 289 and 343/100,000 for Anorexia Nervosa</w:t>
            </w:r>
            <w:r w:rsidR="00812F2E">
              <w:t>, Bulimia Nervosa and Binge Eating Disorder, respectively</w:t>
            </w:r>
            <w:r w:rsidR="000447E3">
              <w:t>.</w:t>
            </w:r>
          </w:p>
        </w:tc>
      </w:tr>
      <w:tr w:rsidR="0048655A" w:rsidRPr="008A7C90" w14:paraId="136E6453" w14:textId="77777777" w:rsidTr="000447E3">
        <w:trPr>
          <w:trHeight w:val="415"/>
        </w:trPr>
        <w:tc>
          <w:tcPr>
            <w:tcW w:w="2842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7948" w:type="dxa"/>
          </w:tcPr>
          <w:p w14:paraId="1486D38C" w14:textId="6B20C894" w:rsidR="0048655A" w:rsidRPr="008A7C90" w:rsidRDefault="00B8687F" w:rsidP="0048655A">
            <w:pPr>
              <w:spacing w:line="259" w:lineRule="auto"/>
            </w:pPr>
            <w:r>
              <w:t>Children age</w:t>
            </w:r>
            <w:r w:rsidR="002D5D80">
              <w:t xml:space="preserve"> </w:t>
            </w:r>
            <w:r w:rsidR="008A1DBB">
              <w:t>8-18</w:t>
            </w:r>
          </w:p>
        </w:tc>
      </w:tr>
      <w:tr w:rsidR="0048655A" w:rsidRPr="008A7C90" w14:paraId="5B80BED5" w14:textId="77777777" w:rsidTr="000447E3">
        <w:trPr>
          <w:trHeight w:val="438"/>
        </w:trPr>
        <w:tc>
          <w:tcPr>
            <w:tcW w:w="2842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7948" w:type="dxa"/>
          </w:tcPr>
          <w:p w14:paraId="0CA2C589" w14:textId="7B0FA39C" w:rsidR="0048655A" w:rsidRPr="008A7C90" w:rsidRDefault="00013FE2" w:rsidP="0048655A">
            <w:pPr>
              <w:spacing w:line="259" w:lineRule="auto"/>
            </w:pPr>
            <w:r>
              <w:t xml:space="preserve">Medical center, </w:t>
            </w:r>
            <w:r w:rsidR="0071075A">
              <w:t xml:space="preserve">year, </w:t>
            </w:r>
            <w:r>
              <w:t xml:space="preserve">age, sex, </w:t>
            </w:r>
            <w:r w:rsidR="0039304F">
              <w:t>eating disorder</w:t>
            </w:r>
            <w:r w:rsidR="00784173">
              <w:t xml:space="preserve"> type</w:t>
            </w:r>
            <w:r w:rsidR="0039304F">
              <w:t xml:space="preserve">, weight, </w:t>
            </w:r>
            <w:r w:rsidR="0071075A">
              <w:t>comorbid mental health conditions (</w:t>
            </w:r>
            <w:r w:rsidR="00964BF4">
              <w:t>suicidal ideations, anxiety, mood, and substance use)</w:t>
            </w:r>
          </w:p>
        </w:tc>
      </w:tr>
      <w:tr w:rsidR="0048655A" w:rsidRPr="008A7C90" w14:paraId="13978FD3" w14:textId="77777777" w:rsidTr="000447E3">
        <w:trPr>
          <w:trHeight w:val="2748"/>
        </w:trPr>
        <w:tc>
          <w:tcPr>
            <w:tcW w:w="2842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7948" w:type="dxa"/>
          </w:tcPr>
          <w:p w14:paraId="3CD35CB0" w14:textId="036F5F23" w:rsidR="0048655A" w:rsidRPr="008A7C90" w:rsidRDefault="005949B7" w:rsidP="0031051B">
            <w:pPr>
              <w:spacing w:line="259" w:lineRule="auto"/>
            </w:pPr>
            <w:r>
              <w:rPr>
                <w:b/>
                <w:bCs/>
              </w:rPr>
              <w:t xml:space="preserve">The incidence of children diagnosed with an eating disorder </w:t>
            </w:r>
            <w:r w:rsidR="00545B51">
              <w:rPr>
                <w:b/>
                <w:bCs/>
              </w:rPr>
              <w:t xml:space="preserve">within KPNC </w:t>
            </w:r>
            <w:r>
              <w:rPr>
                <w:b/>
                <w:bCs/>
              </w:rPr>
              <w:t>is</w:t>
            </w:r>
            <w:r w:rsidR="00B472B8">
              <w:rPr>
                <w:b/>
                <w:bCs/>
              </w:rPr>
              <w:t xml:space="preserve"> </w:t>
            </w:r>
            <w:r w:rsidR="009C7AF5">
              <w:rPr>
                <w:b/>
                <w:bCs/>
              </w:rPr>
              <w:t>approximately 2</w:t>
            </w:r>
            <w:r w:rsidR="00B472B8">
              <w:rPr>
                <w:b/>
                <w:bCs/>
              </w:rPr>
              <w:t>/1</w:t>
            </w:r>
            <w:r w:rsidR="009167BF">
              <w:rPr>
                <w:b/>
                <w:bCs/>
              </w:rPr>
              <w:t>,</w:t>
            </w:r>
            <w:r w:rsidR="00B472B8">
              <w:rPr>
                <w:b/>
                <w:bCs/>
              </w:rPr>
              <w:t>00</w:t>
            </w:r>
            <w:r w:rsidR="009167BF">
              <w:rPr>
                <w:b/>
                <w:bCs/>
              </w:rPr>
              <w:t>0</w:t>
            </w:r>
            <w:r w:rsidR="00B472B8">
              <w:rPr>
                <w:b/>
                <w:bCs/>
              </w:rPr>
              <w:t xml:space="preserve"> in KPNC</w:t>
            </w:r>
            <w:r w:rsidR="00A2262A">
              <w:rPr>
                <w:b/>
                <w:bCs/>
              </w:rPr>
              <w:t xml:space="preserve"> with approximately 1000 new cases per year</w:t>
            </w:r>
            <w:r w:rsidR="00207E6D">
              <w:rPr>
                <w:b/>
                <w:bCs/>
              </w:rPr>
              <w:t xml:space="preserve"> and</w:t>
            </w:r>
            <w:r w:rsidR="00207E6D" w:rsidRPr="00E54679">
              <w:rPr>
                <w:b/>
              </w:rPr>
              <w:t xml:space="preserve"> </w:t>
            </w:r>
            <w:r w:rsidR="009E7995" w:rsidRPr="00E54679">
              <w:rPr>
                <w:b/>
              </w:rPr>
              <w:t xml:space="preserve">5.4% </w:t>
            </w:r>
            <w:r w:rsidR="005C2613" w:rsidRPr="00E54679">
              <w:rPr>
                <w:b/>
              </w:rPr>
              <w:t>of children required medical hospitalization</w:t>
            </w:r>
            <w:r w:rsidR="00207E6D" w:rsidRPr="00E54679">
              <w:rPr>
                <w:b/>
              </w:rPr>
              <w:t>s</w:t>
            </w:r>
            <w:r w:rsidR="00207E6D">
              <w:rPr>
                <w:bCs/>
              </w:rPr>
              <w:t>.</w:t>
            </w:r>
            <w:r w:rsidR="00E54679">
              <w:rPr>
                <w:bCs/>
              </w:rPr>
              <w:t xml:space="preserve"> </w:t>
            </w:r>
            <w:r w:rsidR="004D3841">
              <w:rPr>
                <w:bCs/>
              </w:rPr>
              <w:t xml:space="preserve">Incidence </w:t>
            </w:r>
            <w:r w:rsidR="00691AA4">
              <w:rPr>
                <w:bCs/>
              </w:rPr>
              <w:t>(0.</w:t>
            </w:r>
            <w:r w:rsidR="00FB4730">
              <w:rPr>
                <w:bCs/>
              </w:rPr>
              <w:t>64-</w:t>
            </w:r>
            <w:r w:rsidR="009167BF">
              <w:rPr>
                <w:bCs/>
              </w:rPr>
              <w:t xml:space="preserve">4.40/1,000) </w:t>
            </w:r>
            <w:r w:rsidR="004D3841">
              <w:rPr>
                <w:bCs/>
              </w:rPr>
              <w:t>and h</w:t>
            </w:r>
            <w:r w:rsidR="00366A00">
              <w:rPr>
                <w:bCs/>
              </w:rPr>
              <w:t>ospitalization</w:t>
            </w:r>
            <w:r w:rsidR="00070C9E">
              <w:rPr>
                <w:bCs/>
              </w:rPr>
              <w:t xml:space="preserve"> (</w:t>
            </w:r>
            <w:r w:rsidR="00691AA4">
              <w:rPr>
                <w:bCs/>
              </w:rPr>
              <w:t>2.0-9.8%)</w:t>
            </w:r>
            <w:r w:rsidR="00366A00">
              <w:rPr>
                <w:bCs/>
              </w:rPr>
              <w:t xml:space="preserve"> rates varied significantl</w:t>
            </w:r>
            <w:r w:rsidR="0017069E">
              <w:rPr>
                <w:bCs/>
              </w:rPr>
              <w:t>y</w:t>
            </w:r>
            <w:r w:rsidR="00ED0750">
              <w:rPr>
                <w:bCs/>
              </w:rPr>
              <w:t xml:space="preserve"> by Medical Center</w:t>
            </w:r>
            <w:r w:rsidR="004D3841">
              <w:rPr>
                <w:bCs/>
              </w:rPr>
              <w:t xml:space="preserve">.  </w:t>
            </w:r>
            <w:r w:rsidR="001A5729">
              <w:rPr>
                <w:bCs/>
              </w:rPr>
              <w:t xml:space="preserve">Hispanic/Latinx children were less likely to </w:t>
            </w:r>
            <w:r w:rsidR="00603F35">
              <w:rPr>
                <w:bCs/>
              </w:rPr>
              <w:t>be hospitalized than white children (AOR 0.62, 95% CI 0.44-0.87)</w:t>
            </w:r>
            <w:r w:rsidR="00743E0C">
              <w:rPr>
                <w:bCs/>
              </w:rPr>
              <w:t xml:space="preserve"> (not stratified by disorder type)</w:t>
            </w:r>
            <w:r w:rsidR="00C0698B">
              <w:rPr>
                <w:bCs/>
              </w:rPr>
              <w:t xml:space="preserve">.  </w:t>
            </w:r>
            <w:r w:rsidR="004A6C9A">
              <w:rPr>
                <w:bCs/>
              </w:rPr>
              <w:t xml:space="preserve">Most children were </w:t>
            </w:r>
            <w:r w:rsidR="005C39DA">
              <w:rPr>
                <w:bCs/>
              </w:rPr>
              <w:t>diagnosed with an</w:t>
            </w:r>
            <w:r w:rsidR="004A6C9A">
              <w:rPr>
                <w:bCs/>
              </w:rPr>
              <w:t xml:space="preserve"> “unspecified eating disorder”</w:t>
            </w:r>
            <w:r w:rsidR="005C39DA">
              <w:rPr>
                <w:bCs/>
              </w:rPr>
              <w:t xml:space="preserve"> or only had medical diagnoses (e.g. abnormal weight loss and bradycardia) associated with eating disorder</w:t>
            </w:r>
            <w:r w:rsidR="002D5C93">
              <w:rPr>
                <w:bCs/>
              </w:rPr>
              <w:t>s with</w:t>
            </w:r>
            <w:r w:rsidR="003953D3">
              <w:rPr>
                <w:bCs/>
              </w:rPr>
              <w:t xml:space="preserve"> no information on the type of eating disorders.</w:t>
            </w:r>
          </w:p>
        </w:tc>
      </w:tr>
      <w:tr w:rsidR="0048655A" w:rsidRPr="008A7C90" w14:paraId="62542513" w14:textId="77777777" w:rsidTr="000447E3">
        <w:trPr>
          <w:trHeight w:val="1295"/>
        </w:trPr>
        <w:tc>
          <w:tcPr>
            <w:tcW w:w="2842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7948" w:type="dxa"/>
          </w:tcPr>
          <w:p w14:paraId="092B6F29" w14:textId="61F9BF28" w:rsidR="0048655A" w:rsidRPr="005711C6" w:rsidRDefault="0090615E" w:rsidP="0048655A">
            <w:pPr>
              <w:spacing w:line="259" w:lineRule="auto"/>
            </w:pPr>
            <w:r>
              <w:rPr>
                <w:b/>
                <w:bCs/>
              </w:rPr>
              <w:t xml:space="preserve">Results led to </w:t>
            </w:r>
            <w:r w:rsidR="0065207E">
              <w:rPr>
                <w:b/>
                <w:bCs/>
              </w:rPr>
              <w:t xml:space="preserve">the formation of the Pediatric Eating Disorder </w:t>
            </w:r>
            <w:r w:rsidR="00167532">
              <w:rPr>
                <w:b/>
                <w:bCs/>
              </w:rPr>
              <w:t>Steering Workgroup</w:t>
            </w:r>
            <w:r w:rsidR="00F42990">
              <w:rPr>
                <w:b/>
                <w:bCs/>
              </w:rPr>
              <w:t xml:space="preserve"> (sponsored by </w:t>
            </w:r>
            <w:r w:rsidR="00DF4506">
              <w:rPr>
                <w:b/>
                <w:bCs/>
              </w:rPr>
              <w:t>AED for Pediatrics and Women’s Healt</w:t>
            </w:r>
            <w:r w:rsidR="00C963E9">
              <w:rPr>
                <w:b/>
                <w:bCs/>
              </w:rPr>
              <w:t>h)</w:t>
            </w:r>
            <w:r w:rsidR="005711C6">
              <w:rPr>
                <w:b/>
                <w:bCs/>
              </w:rPr>
              <w:t xml:space="preserve"> and the development of the 2021 Pediatric Eating Disorder Program Priorities.  </w:t>
            </w:r>
            <w:r w:rsidR="005711C6">
              <w:t>These priorities include</w:t>
            </w:r>
            <w:r w:rsidR="0083335B">
              <w:t xml:space="preserve"> </w:t>
            </w:r>
            <w:r w:rsidR="00883A00">
              <w:t>provider training in early detection,</w:t>
            </w:r>
            <w:r w:rsidR="009F5A54">
              <w:t xml:space="preserve"> diagnosis and coding in Pediatrics, AFM and Psychiatry</w:t>
            </w:r>
            <w:r w:rsidR="00B22837">
              <w:t xml:space="preserve">. </w:t>
            </w:r>
          </w:p>
        </w:tc>
      </w:tr>
      <w:tr w:rsidR="00CB0455" w:rsidRPr="008A7C90" w14:paraId="57800790" w14:textId="77777777" w:rsidTr="000447E3">
        <w:trPr>
          <w:trHeight w:val="930"/>
        </w:trPr>
        <w:tc>
          <w:tcPr>
            <w:tcW w:w="2842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7948" w:type="dxa"/>
          </w:tcPr>
          <w:p w14:paraId="3466B7F9" w14:textId="77777777" w:rsidR="008A6CAD" w:rsidRDefault="00824C34" w:rsidP="0048655A">
            <w:r>
              <w:t>Once standardized clinical outcomes have been determined, o</w:t>
            </w:r>
            <w:r w:rsidR="00D826CF">
              <w:t xml:space="preserve">perational </w:t>
            </w:r>
            <w:r w:rsidR="007F5F4C">
              <w:t xml:space="preserve">leaders </w:t>
            </w:r>
            <w:r w:rsidR="005C0B26">
              <w:t xml:space="preserve">could </w:t>
            </w:r>
            <w:r w:rsidR="007F5F4C">
              <w:t xml:space="preserve">consider the development of a pediatric eating disorder patient registry </w:t>
            </w:r>
            <w:r>
              <w:t xml:space="preserve">for ongoing </w:t>
            </w:r>
            <w:r w:rsidR="00DC3FC1">
              <w:t xml:space="preserve">operational and </w:t>
            </w:r>
            <w:r>
              <w:t>quality improvement purposes.</w:t>
            </w:r>
            <w:r w:rsidR="008A6CAD">
              <w:t xml:space="preserve">  </w:t>
            </w:r>
          </w:p>
          <w:p w14:paraId="08163871" w14:textId="5486A87C" w:rsidR="00CB0455" w:rsidRPr="00EB0401" w:rsidRDefault="008A6CAD" w:rsidP="0048655A">
            <w:r>
              <w:t xml:space="preserve">Further evaluation of medical center-level variance could elucidate if this is from true variation in disease vs. </w:t>
            </w:r>
            <w:r w:rsidR="00E25EB5">
              <w:t>differences in diagnosis.</w:t>
            </w:r>
          </w:p>
        </w:tc>
      </w:tr>
      <w:tr w:rsidR="0048655A" w:rsidRPr="008A7C90" w14:paraId="21F6FB6D" w14:textId="77777777" w:rsidTr="000447E3">
        <w:trPr>
          <w:trHeight w:val="435"/>
        </w:trPr>
        <w:tc>
          <w:tcPr>
            <w:tcW w:w="2842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7948" w:type="dxa"/>
          </w:tcPr>
          <w:p w14:paraId="35B5FEA6" w14:textId="5C2FA6BC" w:rsidR="0048655A" w:rsidRPr="008A7C90" w:rsidRDefault="004E0B51" w:rsidP="0048655A">
            <w:pPr>
              <w:spacing w:line="259" w:lineRule="auto"/>
            </w:pPr>
            <w:r>
              <w:t>M</w:t>
            </w:r>
            <w:r w:rsidR="00E25EB5">
              <w:t>anually validat</w:t>
            </w:r>
            <w:r>
              <w:t>ed</w:t>
            </w:r>
            <w:r w:rsidR="00E25EB5">
              <w:t xml:space="preserve"> codes for </w:t>
            </w:r>
            <w:r w:rsidR="00FB0CEE">
              <w:t>diagnosis (can also be used in additional studies)</w:t>
            </w:r>
          </w:p>
        </w:tc>
      </w:tr>
      <w:tr w:rsidR="0048655A" w:rsidRPr="008A7C90" w14:paraId="02D4678D" w14:textId="77777777" w:rsidTr="000447E3">
        <w:trPr>
          <w:trHeight w:val="876"/>
        </w:trPr>
        <w:tc>
          <w:tcPr>
            <w:tcW w:w="2842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7948" w:type="dxa"/>
          </w:tcPr>
          <w:p w14:paraId="0D25EBD1" w14:textId="70B59EA7" w:rsidR="0048655A" w:rsidRPr="008A7C90" w:rsidRDefault="00977B7A" w:rsidP="0048655A">
            <w:pPr>
              <w:spacing w:line="259" w:lineRule="auto"/>
            </w:pPr>
            <w:r>
              <w:t>Rates of diagnosis, hospitalization, and variation across medical center.</w:t>
            </w:r>
          </w:p>
        </w:tc>
      </w:tr>
      <w:tr w:rsidR="000447E3" w:rsidRPr="008A7C90" w14:paraId="66558595" w14:textId="77777777" w:rsidTr="000447E3">
        <w:trPr>
          <w:trHeight w:val="854"/>
        </w:trPr>
        <w:tc>
          <w:tcPr>
            <w:tcW w:w="10790" w:type="dxa"/>
            <w:gridSpan w:val="2"/>
          </w:tcPr>
          <w:p w14:paraId="722DE921" w14:textId="76C600F1" w:rsidR="000447E3" w:rsidRPr="008A7C90" w:rsidRDefault="000447E3" w:rsidP="00977B7A">
            <w:pPr>
              <w:spacing w:line="259" w:lineRule="auto"/>
            </w:pPr>
            <w:r w:rsidRPr="008A7C90">
              <w:lastRenderedPageBreak/>
              <w:t>Referenc</w:t>
            </w:r>
            <w:r>
              <w:t>e</w:t>
            </w:r>
            <w:bookmarkStart w:id="1" w:name="_GoBack"/>
            <w:r>
              <w:rPr>
                <w:noProof/>
              </w:rPr>
              <w:drawing>
                <wp:inline distT="0" distB="0" distL="0" distR="0" wp14:anchorId="468CEB09" wp14:editId="29474D58">
                  <wp:extent cx="6867525" cy="2511734"/>
                  <wp:effectExtent l="0" t="0" r="0" b="317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E0278D-1F65-4EEF-B33D-1F4FB2EE4B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36E0278D-1F65-4EEF-B33D-1F4FB2EE4B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051" cy="253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13FE2"/>
    <w:rsid w:val="000447E3"/>
    <w:rsid w:val="00070C9E"/>
    <w:rsid w:val="00073660"/>
    <w:rsid w:val="000811DB"/>
    <w:rsid w:val="000D08AA"/>
    <w:rsid w:val="000D37EF"/>
    <w:rsid w:val="00167532"/>
    <w:rsid w:val="0017069E"/>
    <w:rsid w:val="001A365B"/>
    <w:rsid w:val="001A5729"/>
    <w:rsid w:val="001D52BB"/>
    <w:rsid w:val="001E348B"/>
    <w:rsid w:val="00207E6D"/>
    <w:rsid w:val="0027578F"/>
    <w:rsid w:val="002A1A00"/>
    <w:rsid w:val="002C5789"/>
    <w:rsid w:val="002D5C93"/>
    <w:rsid w:val="002D5D80"/>
    <w:rsid w:val="002E4138"/>
    <w:rsid w:val="00303020"/>
    <w:rsid w:val="0031051B"/>
    <w:rsid w:val="00366A00"/>
    <w:rsid w:val="00382345"/>
    <w:rsid w:val="00386DB2"/>
    <w:rsid w:val="0039304F"/>
    <w:rsid w:val="003953D3"/>
    <w:rsid w:val="003D755D"/>
    <w:rsid w:val="003E27D1"/>
    <w:rsid w:val="003E34C5"/>
    <w:rsid w:val="0048655A"/>
    <w:rsid w:val="004A6C9A"/>
    <w:rsid w:val="004D3841"/>
    <w:rsid w:val="004E0B51"/>
    <w:rsid w:val="00514319"/>
    <w:rsid w:val="0054276A"/>
    <w:rsid w:val="00545B51"/>
    <w:rsid w:val="00553D0F"/>
    <w:rsid w:val="005711C6"/>
    <w:rsid w:val="00584514"/>
    <w:rsid w:val="005949B7"/>
    <w:rsid w:val="005C0B26"/>
    <w:rsid w:val="005C2613"/>
    <w:rsid w:val="005C39DA"/>
    <w:rsid w:val="005D6210"/>
    <w:rsid w:val="00603F35"/>
    <w:rsid w:val="006400F2"/>
    <w:rsid w:val="006506F5"/>
    <w:rsid w:val="0065207E"/>
    <w:rsid w:val="00676A9A"/>
    <w:rsid w:val="00691AA4"/>
    <w:rsid w:val="006D32D2"/>
    <w:rsid w:val="0071075A"/>
    <w:rsid w:val="00714333"/>
    <w:rsid w:val="0072563B"/>
    <w:rsid w:val="00743E0C"/>
    <w:rsid w:val="00767B4A"/>
    <w:rsid w:val="00777238"/>
    <w:rsid w:val="00784173"/>
    <w:rsid w:val="00785479"/>
    <w:rsid w:val="007A3026"/>
    <w:rsid w:val="007F5F4C"/>
    <w:rsid w:val="00812F2E"/>
    <w:rsid w:val="008131C8"/>
    <w:rsid w:val="00824C34"/>
    <w:rsid w:val="0083335B"/>
    <w:rsid w:val="00883A00"/>
    <w:rsid w:val="00897762"/>
    <w:rsid w:val="008A1DBB"/>
    <w:rsid w:val="008A6CAD"/>
    <w:rsid w:val="008A7C90"/>
    <w:rsid w:val="008C6362"/>
    <w:rsid w:val="009001F2"/>
    <w:rsid w:val="0090615E"/>
    <w:rsid w:val="009167BF"/>
    <w:rsid w:val="00933309"/>
    <w:rsid w:val="00964BF4"/>
    <w:rsid w:val="00977B7A"/>
    <w:rsid w:val="009828D9"/>
    <w:rsid w:val="00985F02"/>
    <w:rsid w:val="009C7AF5"/>
    <w:rsid w:val="009E53EB"/>
    <w:rsid w:val="009E7995"/>
    <w:rsid w:val="009F5A54"/>
    <w:rsid w:val="00A033F3"/>
    <w:rsid w:val="00A16BB1"/>
    <w:rsid w:val="00A2262A"/>
    <w:rsid w:val="00A82916"/>
    <w:rsid w:val="00AC3070"/>
    <w:rsid w:val="00B22837"/>
    <w:rsid w:val="00B472B8"/>
    <w:rsid w:val="00B671DF"/>
    <w:rsid w:val="00B71716"/>
    <w:rsid w:val="00B8687F"/>
    <w:rsid w:val="00BA0D1B"/>
    <w:rsid w:val="00BE57C9"/>
    <w:rsid w:val="00C0698B"/>
    <w:rsid w:val="00C3487D"/>
    <w:rsid w:val="00C4025A"/>
    <w:rsid w:val="00C73A94"/>
    <w:rsid w:val="00C963E9"/>
    <w:rsid w:val="00CB0455"/>
    <w:rsid w:val="00CC3F00"/>
    <w:rsid w:val="00CF4301"/>
    <w:rsid w:val="00D003F1"/>
    <w:rsid w:val="00D24534"/>
    <w:rsid w:val="00D475EC"/>
    <w:rsid w:val="00D7133A"/>
    <w:rsid w:val="00D826CF"/>
    <w:rsid w:val="00DA2E8F"/>
    <w:rsid w:val="00DA3D51"/>
    <w:rsid w:val="00DC3FC1"/>
    <w:rsid w:val="00DE65FE"/>
    <w:rsid w:val="00DF4506"/>
    <w:rsid w:val="00DF7EA4"/>
    <w:rsid w:val="00E11714"/>
    <w:rsid w:val="00E20EB8"/>
    <w:rsid w:val="00E25EB5"/>
    <w:rsid w:val="00E3271C"/>
    <w:rsid w:val="00E43D12"/>
    <w:rsid w:val="00E54679"/>
    <w:rsid w:val="00EB0401"/>
    <w:rsid w:val="00ED0750"/>
    <w:rsid w:val="00EF5C9B"/>
    <w:rsid w:val="00EF635D"/>
    <w:rsid w:val="00F42990"/>
    <w:rsid w:val="00FB0CEE"/>
    <w:rsid w:val="00FB4730"/>
    <w:rsid w:val="00FC1113"/>
    <w:rsid w:val="00FE6194"/>
    <w:rsid w:val="00FF4FAE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70F615-074A-47EC-B471-67EA8E2398A7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102</cp:revision>
  <dcterms:created xsi:type="dcterms:W3CDTF">2020-12-28T17:32:00Z</dcterms:created>
  <dcterms:modified xsi:type="dcterms:W3CDTF">2021-04-26T16:12:00Z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