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12DC" w14:textId="1C3FAA66" w:rsidR="1A557A28" w:rsidRDefault="00B33E72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Enhanced Recovery After Surgery (ERAS) </w:t>
      </w:r>
      <w:r w:rsidR="00F512FF">
        <w:rPr>
          <w:rFonts w:ascii="Calibri" w:eastAsia="Calibri" w:hAnsi="Calibri" w:cs="Calibri"/>
          <w:color w:val="4472C4" w:themeColor="accent1"/>
          <w:sz w:val="28"/>
          <w:szCs w:val="28"/>
        </w:rPr>
        <w:t>was associated with reduced opioid prescriptions after surgery</w:t>
      </w:r>
      <w:r w:rsidR="00C73A94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</w:t>
      </w:r>
    </w:p>
    <w:p w14:paraId="7FCD574A" w14:textId="14A09533" w:rsidR="008A7C90" w:rsidRDefault="002F7025" w:rsidP="00D24534">
      <w:pPr>
        <w:spacing w:after="0"/>
      </w:pPr>
      <w:r w:rsidRPr="002F7025">
        <w:t>Vincent X. Liu, MD, MS; Abigail Eaton, PhD; Derrick C. Lee, MD;  Vivian M. Reyes, MD; Shirley S. Paulson, DNP, MPA, RN, NEA-BC; Cynthia I. Campbell, PhD, MPH; Andy L. Avins, MD, MPH;  Stephen M. Parodi, MD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7F9273D4" w14:textId="6BFB567D" w:rsidR="0048655A" w:rsidRPr="0031051B" w:rsidRDefault="00EC3230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While Enhanced Recovery After Surgery (ERAS) protocols have been shown to have several clinical advantages, including a reduction in inpatient opioid use, it is unknown whether such protocols, particularly as implemented within KPNC, are also effective in reducing postoperative outpatient opioid use.</w:t>
            </w: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4D1E9150" w:rsidR="0048655A" w:rsidRPr="008A7C90" w:rsidRDefault="00323641" w:rsidP="0048655A">
            <w:pPr>
              <w:spacing w:line="259" w:lineRule="auto"/>
            </w:pPr>
            <w:r>
              <w:t xml:space="preserve">ERAS protocols, with their emphasis on non-opioid multimodal analgesia, have shown some effectiveness in reducing </w:t>
            </w:r>
            <w:r w:rsidR="00A911CA">
              <w:t>use of</w:t>
            </w:r>
            <w:r>
              <w:t xml:space="preserve"> opioids among surgical patients while they remain in the hospital</w:t>
            </w:r>
            <w:r w:rsidR="00064649">
              <w:t xml:space="preserve"> (</w:t>
            </w:r>
            <w:r w:rsidR="00064649" w:rsidRPr="00064649">
              <w:t>Schwartz AR, et al., Int J Gynecol Cancer. 2019 Jun;29:935</w:t>
            </w:r>
            <w:r w:rsidR="00064649">
              <w:t xml:space="preserve">; </w:t>
            </w:r>
            <w:r w:rsidRPr="00C11348">
              <w:t xml:space="preserve"> </w:t>
            </w:r>
            <w:r w:rsidR="00370F40">
              <w:t>Fay, et al., Obstet Gynecol 2019;113:119S); the effect of ERAS protocols on post-discharge opioid use is poorly understood.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6EB0588B" w:rsidR="0048655A" w:rsidRPr="008A7C90" w:rsidRDefault="002D1838" w:rsidP="002D1838">
            <w:r>
              <w:t>Surgical patients (in this case,</w:t>
            </w:r>
            <w:bookmarkStart w:id="1" w:name="KVWin_undostart"/>
            <w:bookmarkEnd w:id="1"/>
            <w:r>
              <w:t xml:space="preserve"> elective colorectal and nonelective hip fracture surgical patients)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6A3BD18C" w:rsidR="0048655A" w:rsidRPr="008A7C90" w:rsidRDefault="00332DC0" w:rsidP="0048655A">
            <w:pPr>
              <w:spacing w:line="259" w:lineRule="auto"/>
            </w:pPr>
            <w:r>
              <w:t>KPNC ERAS protocol</w:t>
            </w:r>
          </w:p>
        </w:tc>
      </w:tr>
      <w:tr w:rsidR="0048655A" w:rsidRPr="008A7C90" w14:paraId="13978FD3" w14:textId="77777777" w:rsidTr="006E5758">
        <w:trPr>
          <w:trHeight w:val="965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CD35CB0" w14:textId="4E7E446F" w:rsidR="0048655A" w:rsidRPr="00332DC0" w:rsidRDefault="00332DC0" w:rsidP="0031051B">
            <w:pPr>
              <w:spacing w:line="259" w:lineRule="auto"/>
              <w:rPr>
                <w:b/>
                <w:bCs/>
              </w:rPr>
            </w:pPr>
            <w:r w:rsidRPr="00332DC0">
              <w:rPr>
                <w:b/>
                <w:bCs/>
              </w:rPr>
              <w:t>The implementation of a health system-wide ERAS program was associated with substantial reductions in the rate of postoperative opioid fills between 180 and 365 days, starting from over 30% before implementation and falling to &lt;10% at 1 year after implementation.</w:t>
            </w:r>
            <w:r w:rsidR="0048655A" w:rsidRPr="00332DC0">
              <w:rPr>
                <w:b/>
                <w:bCs/>
              </w:rPr>
              <w:t xml:space="preserve"> </w:t>
            </w:r>
          </w:p>
        </w:tc>
      </w:tr>
      <w:tr w:rsidR="0048655A" w:rsidRPr="008A7C90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46E094BA" w:rsidR="0048655A" w:rsidRPr="00EF635D" w:rsidRDefault="007F59F1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No change</w:t>
            </w:r>
            <w:r w:rsidR="006E5758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specific to the results of this project; this work provides further supporting evidence for the dissemination and adherence to existing ERAS protocols</w:t>
            </w:r>
          </w:p>
        </w:tc>
      </w:tr>
      <w:tr w:rsidR="00CB0455" w:rsidRPr="008A7C90" w14:paraId="57800790" w14:textId="77777777" w:rsidTr="00204236">
        <w:trPr>
          <w:trHeight w:val="551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365FAF3D" w:rsidR="00CB0455" w:rsidRPr="00EB0401" w:rsidRDefault="00D10996" w:rsidP="0048655A">
            <w:r>
              <w:t>This supports evaluation of additional ERAS protocols</w:t>
            </w:r>
            <w:r w:rsidR="000D3F85">
              <w:t xml:space="preserve"> for evaluating residual areas of persistent higher-than-expected opioid use.</w:t>
            </w:r>
            <w:bookmarkStart w:id="2" w:name="_GoBack"/>
            <w:bookmarkEnd w:id="2"/>
          </w:p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720A76DF" w:rsidR="0048655A" w:rsidRPr="008A7C90" w:rsidRDefault="00D30210" w:rsidP="0048655A">
            <w:pPr>
              <w:spacing w:line="259" w:lineRule="auto"/>
            </w:pPr>
            <w:r>
              <w:t xml:space="preserve">ERAS </w:t>
            </w:r>
            <w:r w:rsidR="00BB2928">
              <w:t>protocols for opioid reduction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0C33B87E" w:rsidR="0048655A" w:rsidRPr="008A7C90" w:rsidRDefault="00BB2928" w:rsidP="0048655A">
            <w:pPr>
              <w:spacing w:line="259" w:lineRule="auto"/>
            </w:pPr>
            <w:r>
              <w:t>Post-surgical opioid use</w:t>
            </w:r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601DCC27" w14:textId="1E58B4CE" w:rsidR="0048655A" w:rsidRPr="007F59F1" w:rsidRDefault="008D58A5" w:rsidP="0048655A">
            <w:pPr>
              <w:spacing w:line="259" w:lineRule="auto"/>
              <w:rPr>
                <w:b/>
                <w:bCs/>
              </w:rPr>
            </w:pPr>
            <w:r w:rsidRPr="008D58A5">
              <w:rPr>
                <w:b/>
                <w:bCs/>
                <w:noProof/>
              </w:rPr>
              <w:drawing>
                <wp:inline distT="0" distB="0" distL="0" distR="0" wp14:anchorId="61FAA5F9" wp14:editId="6ABC6B85">
                  <wp:extent cx="4711700" cy="2281131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783" cy="228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97621" w14:textId="77777777" w:rsidR="00FF5797" w:rsidRDefault="00FF5797" w:rsidP="0048655A">
            <w:pPr>
              <w:spacing w:line="259" w:lineRule="auto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  <w:p w14:paraId="722DE921" w14:textId="3337C97C" w:rsidR="0048655A" w:rsidRPr="008A7C90" w:rsidRDefault="008D58A5" w:rsidP="0048655A">
            <w:pPr>
              <w:spacing w:line="259" w:lineRule="auto"/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Liu VX, et al. Ann Surg. 2019 Dec;270(6):e69-e71. doi: 10.1097/SLA.0000000000003409 </w:t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114401-E95F-41E5-818B-ADCA337624CA}"/>
    <w:docVar w:name="dgnword-eventsink" w:val="2671702074176"/>
  </w:docVars>
  <w:rsids>
    <w:rsidRoot w:val="008A7C90"/>
    <w:rsid w:val="00064649"/>
    <w:rsid w:val="000811DB"/>
    <w:rsid w:val="000D3F85"/>
    <w:rsid w:val="001A6C8F"/>
    <w:rsid w:val="001D52BB"/>
    <w:rsid w:val="001E348B"/>
    <w:rsid w:val="00204236"/>
    <w:rsid w:val="002A1A00"/>
    <w:rsid w:val="002D1838"/>
    <w:rsid w:val="002F7025"/>
    <w:rsid w:val="0031051B"/>
    <w:rsid w:val="00323641"/>
    <w:rsid w:val="00332DC0"/>
    <w:rsid w:val="00370F40"/>
    <w:rsid w:val="003D755D"/>
    <w:rsid w:val="003E27D1"/>
    <w:rsid w:val="003E34C5"/>
    <w:rsid w:val="0048655A"/>
    <w:rsid w:val="00514319"/>
    <w:rsid w:val="006D32D2"/>
    <w:rsid w:val="006E5758"/>
    <w:rsid w:val="0072563B"/>
    <w:rsid w:val="00777238"/>
    <w:rsid w:val="007F59F1"/>
    <w:rsid w:val="008131C8"/>
    <w:rsid w:val="008A7C90"/>
    <w:rsid w:val="008D58A5"/>
    <w:rsid w:val="009001F2"/>
    <w:rsid w:val="00933309"/>
    <w:rsid w:val="00A16BB1"/>
    <w:rsid w:val="00A911CA"/>
    <w:rsid w:val="00B33E72"/>
    <w:rsid w:val="00BB2928"/>
    <w:rsid w:val="00C3487D"/>
    <w:rsid w:val="00C4025A"/>
    <w:rsid w:val="00C42DD8"/>
    <w:rsid w:val="00C73A94"/>
    <w:rsid w:val="00CB0455"/>
    <w:rsid w:val="00CF4301"/>
    <w:rsid w:val="00D003F1"/>
    <w:rsid w:val="00D10996"/>
    <w:rsid w:val="00D24534"/>
    <w:rsid w:val="00D30210"/>
    <w:rsid w:val="00DF4797"/>
    <w:rsid w:val="00EB0401"/>
    <w:rsid w:val="00EC3230"/>
    <w:rsid w:val="00EF635D"/>
    <w:rsid w:val="00F512FF"/>
    <w:rsid w:val="00FE6194"/>
    <w:rsid w:val="00FF5797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FBB00B-BF11-45D7-B9D9-C17FE5928199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7</cp:revision>
  <dcterms:created xsi:type="dcterms:W3CDTF">2021-04-14T19:19:00Z</dcterms:created>
  <dcterms:modified xsi:type="dcterms:W3CDTF">2021-04-23T22:13:00Z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