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583ECFED" w:rsidR="1A557A28" w:rsidRDefault="00C73A94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NEWSLINE TITLE </w:t>
      </w:r>
    </w:p>
    <w:p w14:paraId="001086A4" w14:textId="081AE3C7" w:rsidR="00422DDC" w:rsidRPr="00422DDC" w:rsidRDefault="00422DDC" w:rsidP="00422D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</w:pPr>
      <w:r w:rsidRPr="00422DDC">
        <w:rPr>
          <w:rFonts w:ascii="Arial" w:eastAsia="Times New Roman" w:hAnsi="Arial" w:cs="Arial"/>
          <w:sz w:val="18"/>
          <w:szCs w:val="18"/>
        </w:rPr>
        <w:t>Influence of Telemedicine-First Intervention on Patient Visit Choice, Post-Visit Care</w:t>
      </w:r>
      <w:r w:rsidRPr="00422DDC">
        <w:rPr>
          <w:rFonts w:ascii="Arial" w:hAnsi="Arial" w:cs="Arial"/>
          <w:color w:val="000000" w:themeColor="text1"/>
          <w:sz w:val="18"/>
          <w:szCs w:val="18"/>
        </w:rPr>
        <w:t>, and Patient Satisfaction in Gastroenterology</w:t>
      </w:r>
    </w:p>
    <w:p w14:paraId="1749E2D3" w14:textId="5DABFC20" w:rsidR="00422DDC" w:rsidRPr="00422DDC" w:rsidRDefault="00422DDC" w:rsidP="00422D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Craig A Munroe, MD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1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, Teresa Y Lin, MPH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2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, Smita Rouillard, MD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2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, Jeffrey Fox, MD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1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, Jeffrey K Lee, MD, MPH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  <w:vertAlign w:val="superscript"/>
        </w:rPr>
        <w:t>2</w:t>
      </w:r>
      <w:r w:rsidRPr="00422DDC">
        <w:rPr>
          <w:rFonts w:ascii="Arial" w:eastAsia="Times New Roman" w:hAnsi="Arial" w:cs="Arial"/>
          <w:color w:val="000000" w:themeColor="text1"/>
          <w:sz w:val="18"/>
          <w:szCs w:val="18"/>
        </w:rPr>
        <w:t>, Douglas A Corley, MD, PhD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798AF74A" w:rsidR="0048655A" w:rsidRPr="0031051B" w:rsidRDefault="00422DDC" w:rsidP="0048655A">
            <w:pPr>
              <w:spacing w:line="259" w:lineRule="auto"/>
              <w:rPr>
                <w:b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he emergence of the SARS-CoV-2 virus in December 2019 </w:t>
            </w:r>
            <w:r>
              <w:rPr>
                <w:rFonts w:ascii="Arial" w:hAnsi="Arial" w:cs="Arial"/>
                <w:color w:val="000000" w:themeColor="text1"/>
              </w:rPr>
              <w:t>led to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 rapid expansion of telemedicine (e.g. video and telephone visits), in order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</w:rPr>
              <w:t>provide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patients </w:t>
            </w:r>
            <w:r>
              <w:rPr>
                <w:rFonts w:ascii="Arial" w:hAnsi="Arial" w:cs="Arial"/>
                <w:color w:val="000000" w:themeColor="text1"/>
              </w:rPr>
              <w:t xml:space="preserve">with </w:t>
            </w:r>
            <w:r w:rsidRPr="00C57A56">
              <w:rPr>
                <w:rFonts w:ascii="Arial" w:hAnsi="Arial" w:cs="Arial"/>
                <w:color w:val="000000" w:themeColor="text1"/>
              </w:rPr>
              <w:t>continued access to care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while minimizing in-person contacts</w:t>
            </w:r>
            <w:r w:rsidRPr="001B5A61">
              <w:rPr>
                <w:rFonts w:ascii="Arial" w:hAnsi="Arial" w:cs="Arial"/>
              </w:rPr>
              <w:t>.</w:t>
            </w:r>
            <w:r w:rsidRPr="00C57A5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Within gastroenterology, minimal telemedicine-related data exist on patient choice/acceptance, its impact on medical decision-making, and completion of follow-up testing and treatment.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20E0BE8A" w:rsidR="0048655A" w:rsidRPr="008A7C90" w:rsidRDefault="00422DDC" w:rsidP="0048655A">
            <w:pPr>
              <w:spacing w:line="259" w:lineRule="auto"/>
            </w:pPr>
            <w:r>
              <w:rPr>
                <w:rFonts w:ascii="Arial" w:hAnsi="Arial" w:cs="Arial"/>
              </w:rPr>
              <w:t xml:space="preserve">To address this evidence gap, </w:t>
            </w:r>
            <w:r>
              <w:rPr>
                <w:rFonts w:ascii="Arial" w:eastAsia="Times New Roman" w:hAnsi="Arial" w:cs="Arial"/>
              </w:rPr>
              <w:t>w</w:t>
            </w:r>
            <w:r w:rsidRPr="00C57A56">
              <w:rPr>
                <w:rFonts w:ascii="Arial" w:eastAsia="Times New Roman" w:hAnsi="Arial" w:cs="Arial"/>
              </w:rPr>
              <w:t xml:space="preserve">e evaluated the acceptance and outcomes of </w:t>
            </w:r>
            <w:r>
              <w:rPr>
                <w:rFonts w:ascii="Arial" w:eastAsia="Times New Roman" w:hAnsi="Arial" w:cs="Arial"/>
              </w:rPr>
              <w:t xml:space="preserve">offering </w:t>
            </w:r>
            <w:r w:rsidRPr="00C57A56">
              <w:rPr>
                <w:rFonts w:ascii="Arial" w:eastAsia="Times New Roman" w:hAnsi="Arial" w:cs="Arial"/>
              </w:rPr>
              <w:t>telemedicine</w:t>
            </w:r>
            <w:r>
              <w:rPr>
                <w:rFonts w:ascii="Arial" w:eastAsia="Times New Roman" w:hAnsi="Arial" w:cs="Arial"/>
              </w:rPr>
              <w:t xml:space="preserve"> as a</w:t>
            </w:r>
            <w:r w:rsidRPr="00C57A56">
              <w:rPr>
                <w:rFonts w:ascii="Arial" w:eastAsia="Times New Roman" w:hAnsi="Arial" w:cs="Arial"/>
              </w:rPr>
              <w:t xml:space="preserve"> first</w:t>
            </w:r>
            <w:r>
              <w:rPr>
                <w:rFonts w:ascii="Arial" w:eastAsia="Times New Roman" w:hAnsi="Arial" w:cs="Arial"/>
              </w:rPr>
              <w:t xml:space="preserve"> appointment option for initial gastroenterology appointments </w:t>
            </w:r>
            <w:r w:rsidRPr="00D72117">
              <w:rPr>
                <w:rFonts w:ascii="Arial" w:eastAsia="Times New Roman" w:hAnsi="Arial" w:cs="Arial"/>
                <w:i/>
                <w:iCs/>
              </w:rPr>
              <w:t>prior</w:t>
            </w:r>
            <w:r w:rsidRPr="00C57A56">
              <w:rPr>
                <w:rFonts w:ascii="Arial" w:eastAsia="Times New Roman" w:hAnsi="Arial" w:cs="Arial"/>
              </w:rPr>
              <w:t xml:space="preserve"> to the </w:t>
            </w:r>
            <w:r>
              <w:rPr>
                <w:rFonts w:ascii="Arial" w:eastAsia="Times New Roman" w:hAnsi="Arial" w:cs="Arial"/>
              </w:rPr>
              <w:t>onset of the</w:t>
            </w:r>
            <w:r w:rsidRPr="00C57A56">
              <w:rPr>
                <w:rFonts w:ascii="Arial" w:eastAsia="Times New Roman" w:hAnsi="Arial" w:cs="Arial"/>
              </w:rPr>
              <w:t xml:space="preserve"> pandemic</w:t>
            </w:r>
            <w:r>
              <w:rPr>
                <w:rFonts w:ascii="Arial" w:eastAsia="Times New Roman" w:hAnsi="Arial" w:cs="Arial"/>
              </w:rPr>
              <w:t>, to inform decisions regarding telemedicine use during the pandemic and beyond</w:t>
            </w:r>
            <w:r w:rsidRPr="00C57A56">
              <w:rPr>
                <w:rFonts w:ascii="Arial" w:eastAsia="Times New Roman" w:hAnsi="Arial" w:cs="Arial"/>
              </w:rPr>
              <w:t>.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2EBB87E1" w:rsidR="0048655A" w:rsidRPr="008A7C90" w:rsidRDefault="00422DDC" w:rsidP="0048655A">
            <w:pPr>
              <w:spacing w:line="259" w:lineRule="auto"/>
            </w:pPr>
            <w:r>
              <w:rPr>
                <w:rFonts w:ascii="Arial" w:eastAsia="Times New Roman" w:hAnsi="Arial" w:cs="Arial"/>
              </w:rPr>
              <w:t>A</w:t>
            </w:r>
            <w:r w:rsidRPr="00C57A56">
              <w:rPr>
                <w:rFonts w:ascii="Arial" w:eastAsia="Times New Roman" w:hAnsi="Arial" w:cs="Arial"/>
              </w:rPr>
              <w:t xml:space="preserve">ll adults aged 18 and over who were electronically referred </w:t>
            </w:r>
            <w:r>
              <w:rPr>
                <w:rFonts w:ascii="Arial" w:eastAsia="Times New Roman" w:hAnsi="Arial" w:cs="Arial"/>
              </w:rPr>
              <w:t xml:space="preserve">to the San Francisco Medical Center </w:t>
            </w:r>
            <w:r w:rsidRPr="00C57A56">
              <w:rPr>
                <w:rFonts w:ascii="Arial" w:eastAsia="Times New Roman" w:hAnsi="Arial" w:cs="Arial"/>
              </w:rPr>
              <w:t xml:space="preserve">from 1/1/2016-9/30/2019 for </w:t>
            </w:r>
            <w:r>
              <w:rPr>
                <w:rFonts w:ascii="Arial" w:eastAsia="Times New Roman" w:hAnsi="Arial" w:cs="Arial"/>
              </w:rPr>
              <w:t xml:space="preserve">routine outpatient gastroenterology </w:t>
            </w:r>
            <w:r w:rsidRPr="00C57A56">
              <w:rPr>
                <w:rFonts w:ascii="Arial" w:eastAsia="Times New Roman" w:hAnsi="Arial" w:cs="Arial"/>
              </w:rPr>
              <w:t>consultation</w:t>
            </w:r>
            <w:r>
              <w:rPr>
                <w:rFonts w:ascii="Arial" w:eastAsia="Times New Roman" w:hAnsi="Arial" w:cs="Arial"/>
              </w:rPr>
              <w:t>,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579EFF60" w:rsidR="0048655A" w:rsidRPr="008A7C90" w:rsidRDefault="00422DDC" w:rsidP="00C37C4F">
            <w:pPr>
              <w:spacing w:after="100" w:afterAutospacing="1"/>
            </w:pPr>
            <w:r>
              <w:rPr>
                <w:rFonts w:ascii="Arial" w:eastAsia="Times New Roman" w:hAnsi="Arial" w:cs="Arial"/>
              </w:rPr>
              <w:t xml:space="preserve">Starting </w:t>
            </w:r>
            <w:r w:rsidRPr="00C57A56">
              <w:rPr>
                <w:rFonts w:ascii="Arial" w:hAnsi="Arial" w:cs="Arial"/>
                <w:color w:val="201F1E"/>
              </w:rPr>
              <w:t>Jan 1, 2019</w:t>
            </w:r>
            <w:r>
              <w:rPr>
                <w:rFonts w:ascii="Arial" w:hAnsi="Arial" w:cs="Arial"/>
                <w:color w:val="201F1E"/>
              </w:rPr>
              <w:t>,</w:t>
            </w:r>
            <w:r w:rsidRPr="00C57A56">
              <w:rPr>
                <w:rFonts w:ascii="Arial" w:hAnsi="Arial" w:cs="Arial"/>
                <w:color w:val="201F1E"/>
              </w:rPr>
              <w:t xml:space="preserve"> </w:t>
            </w:r>
            <w:r>
              <w:rPr>
                <w:rFonts w:ascii="Arial" w:hAnsi="Arial" w:cs="Arial"/>
                <w:color w:val="201F1E"/>
              </w:rPr>
              <w:t xml:space="preserve">a telemedicine visit (telephone or video visit) </w:t>
            </w:r>
            <w:r>
              <w:rPr>
                <w:rFonts w:ascii="Arial" w:hAnsi="Arial" w:cs="Arial"/>
                <w:color w:val="000000" w:themeColor="text1"/>
              </w:rPr>
              <w:t>was</w:t>
            </w:r>
            <w:r w:rsidRPr="00C57A56">
              <w:rPr>
                <w:rFonts w:ascii="Arial" w:hAnsi="Arial" w:cs="Arial"/>
                <w:color w:val="000000" w:themeColor="text1"/>
              </w:rPr>
              <w:t xml:space="preserve"> offered as a first choice to patients</w:t>
            </w:r>
            <w:r>
              <w:rPr>
                <w:rFonts w:ascii="Arial" w:hAnsi="Arial" w:cs="Arial"/>
                <w:color w:val="000000" w:themeColor="text1"/>
              </w:rPr>
              <w:t xml:space="preserve"> referred to the practice.  Patients could accept or request an in-person office visit</w:t>
            </w:r>
            <w:r w:rsidRPr="00C57A56">
              <w:rPr>
                <w:rFonts w:ascii="Arial" w:eastAsia="Times New Roman" w:hAnsi="Arial" w:cs="Arial"/>
              </w:rPr>
              <w:t xml:space="preserve">.  </w:t>
            </w:r>
            <w:bookmarkStart w:id="1" w:name="_GoBack"/>
            <w:bookmarkEnd w:id="1"/>
          </w:p>
        </w:tc>
      </w:tr>
      <w:tr w:rsidR="0048655A" w:rsidRPr="008A7C90" w14:paraId="13978FD3" w14:textId="77777777" w:rsidTr="00C37C4F">
        <w:trPr>
          <w:trHeight w:val="1100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12079B00" w:rsidR="0048655A" w:rsidRPr="008A7C90" w:rsidRDefault="00422DDC" w:rsidP="0031051B">
            <w:pPr>
              <w:spacing w:line="259" w:lineRule="auto"/>
            </w:pPr>
            <w:r w:rsidRPr="00C57A56">
              <w:rPr>
                <w:rFonts w:ascii="Arial" w:hAnsi="Arial" w:cs="Arial"/>
              </w:rPr>
              <w:t>In a single-arm cross-over study using an interrupted time series design to account for temporal trends, there were high levels of patient acceptance of telemedicine</w:t>
            </w:r>
            <w:r>
              <w:rPr>
                <w:rFonts w:ascii="Arial" w:hAnsi="Arial" w:cs="Arial"/>
              </w:rPr>
              <w:t xml:space="preserve"> and no discernible changes in outcomes/care use related to medical decision-making, </w:t>
            </w:r>
            <w:r w:rsidRPr="00C57A56">
              <w:rPr>
                <w:rFonts w:ascii="Arial" w:hAnsi="Arial" w:cs="Arial"/>
              </w:rPr>
              <w:t xml:space="preserve">times to appointment, </w:t>
            </w:r>
            <w:r>
              <w:rPr>
                <w:rFonts w:ascii="Arial" w:hAnsi="Arial" w:cs="Arial"/>
              </w:rPr>
              <w:t xml:space="preserve">or </w:t>
            </w:r>
            <w:r w:rsidRPr="00C57A56">
              <w:rPr>
                <w:rFonts w:ascii="Arial" w:hAnsi="Arial" w:cs="Arial"/>
                <w:color w:val="000000" w:themeColor="text1"/>
              </w:rPr>
              <w:t>patient satisfaction</w:t>
            </w:r>
            <w:r w:rsidRPr="00C57A56">
              <w:rPr>
                <w:rFonts w:ascii="Arial" w:hAnsi="Arial" w:cs="Arial"/>
              </w:rPr>
              <w:t xml:space="preserve">. </w:t>
            </w:r>
          </w:p>
        </w:tc>
      </w:tr>
      <w:tr w:rsidR="0048655A" w:rsidRPr="008A7C90" w14:paraId="62542513" w14:textId="77777777" w:rsidTr="00C37C4F">
        <w:trPr>
          <w:trHeight w:val="1604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666D9D65" w:rsidR="0048655A" w:rsidRPr="00EF635D" w:rsidRDefault="00422DDC" w:rsidP="00C37C4F">
            <w:pPr>
              <w:pStyle w:val="NormalWeb"/>
              <w:spacing w:before="0" w:beforeAutospacing="0"/>
              <w:rPr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 xml:space="preserve"> the first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study 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 xml:space="preserve">to our knowledge to describe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both acceptance and relevant outcomes of </w:t>
            </w:r>
            <w:r w:rsidRPr="00C57A56">
              <w:rPr>
                <w:rFonts w:ascii="Arial" w:hAnsi="Arial" w:cs="Arial"/>
                <w:sz w:val="22"/>
                <w:szCs w:val="22"/>
              </w:rPr>
              <w:t>telemedicine</w:t>
            </w:r>
            <w:r w:rsidRPr="00C57A56" w:rsidDel="00136E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visits 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 xml:space="preserve">as the primary consultative delivery model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across a GI practice; its completion prior to COVID-19 allows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for research 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>evaluation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57A56">
              <w:rPr>
                <w:rFonts w:ascii="Arial" w:hAnsi="Arial" w:cs="Arial"/>
                <w:bCs/>
                <w:sz w:val="22"/>
                <w:szCs w:val="22"/>
              </w:rPr>
              <w:t xml:space="preserve"> that are not biased by the marked pandemic-related changes in care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practices. </w:t>
            </w:r>
            <w:r w:rsidRPr="00C57A56">
              <w:rPr>
                <w:rFonts w:ascii="Arial" w:hAnsi="Arial" w:cs="Arial"/>
              </w:rPr>
              <w:t xml:space="preserve"> </w:t>
            </w:r>
            <w:r w:rsidRPr="00C57A56">
              <w:rPr>
                <w:rFonts w:ascii="Arial" w:hAnsi="Arial" w:cs="Arial"/>
                <w:sz w:val="22"/>
                <w:szCs w:val="22"/>
              </w:rPr>
              <w:t xml:space="preserve">This study provides evidence to </w:t>
            </w:r>
            <w:r>
              <w:rPr>
                <w:rFonts w:ascii="Arial" w:hAnsi="Arial" w:cs="Arial"/>
                <w:sz w:val="22"/>
                <w:szCs w:val="22"/>
              </w:rPr>
              <w:t>support</w:t>
            </w:r>
            <w:r w:rsidRPr="00C57A56">
              <w:rPr>
                <w:rFonts w:ascii="Arial" w:hAnsi="Arial" w:cs="Arial"/>
                <w:sz w:val="22"/>
                <w:szCs w:val="22"/>
              </w:rPr>
              <w:t xml:space="preserve"> the continuance and expansion of telemedicine for outpatient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specialty care</w:t>
            </w:r>
            <w:r w:rsidRPr="00C57A56">
              <w:rPr>
                <w:rFonts w:ascii="Arial" w:hAnsi="Arial" w:cs="Arial"/>
                <w:sz w:val="22"/>
                <w:szCs w:val="22"/>
              </w:rPr>
              <w:t>.</w:t>
            </w:r>
            <w:r w:rsidR="00C37C4F" w:rsidRPr="00EF635D">
              <w:rPr>
                <w:b/>
                <w:bCs/>
              </w:rPr>
              <w:t xml:space="preserve"> </w:t>
            </w:r>
          </w:p>
        </w:tc>
      </w:tr>
      <w:tr w:rsidR="00CB0455" w:rsidRPr="008A7C90" w14:paraId="57800790" w14:textId="77777777" w:rsidTr="00C37C4F">
        <w:trPr>
          <w:trHeight w:val="470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68C1057F" w:rsidR="00CB0455" w:rsidRPr="00EB0401" w:rsidRDefault="00CB0455" w:rsidP="0048655A"/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384D295F" w:rsidR="0048655A" w:rsidRPr="008A7C90" w:rsidRDefault="00860004" w:rsidP="0048655A">
            <w:pPr>
              <w:spacing w:line="259" w:lineRule="auto"/>
            </w:pPr>
            <w:r>
              <w:t xml:space="preserve">Programming for monitoring </w:t>
            </w:r>
            <w:r w:rsidR="00835F2A">
              <w:t>post-visit decision making such as procedure codes, labs, medications, etc. relevant to GI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4BB7C287" w:rsidR="0048655A" w:rsidRPr="008A7C90" w:rsidRDefault="00835F2A" w:rsidP="0048655A">
            <w:pPr>
              <w:spacing w:line="259" w:lineRule="auto"/>
            </w:pPr>
            <w:r>
              <w:t>Proportions of patients receiving telecare; changes in post-visit decision making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0C223C1F" w14:textId="61BE9E05" w:rsidR="0048655A" w:rsidRDefault="0048655A" w:rsidP="0048655A">
            <w:pPr>
              <w:spacing w:line="259" w:lineRule="auto"/>
            </w:pPr>
            <w:proofErr w:type="spellStart"/>
            <w:r w:rsidRPr="008A7C90">
              <w:t>doi</w:t>
            </w:r>
            <w:proofErr w:type="spellEnd"/>
            <w:r w:rsidRPr="008A7C90">
              <w:t xml:space="preserve">: </w:t>
            </w:r>
            <w:hyperlink r:id="rId7" w:history="1">
              <w:r w:rsidR="008D6756" w:rsidRPr="00681637">
                <w:rPr>
                  <w:rStyle w:val="Hyperlink"/>
                </w:rPr>
                <w:t>https://pubmed.ncbi.nlm.nih.gov/33075348/</w:t>
              </w:r>
            </w:hyperlink>
          </w:p>
          <w:p w14:paraId="722DE921" w14:textId="098FC50F" w:rsidR="008D6756" w:rsidRPr="008A7C90" w:rsidRDefault="003740F5" w:rsidP="0048655A">
            <w:pPr>
              <w:spacing w:line="259" w:lineRule="auto"/>
            </w:pPr>
            <w:r>
              <w:rPr>
                <w:color w:val="666666"/>
                <w:shd w:val="clear" w:color="auto" w:fill="FFFCF0"/>
              </w:rPr>
              <w:t>(</w:t>
            </w:r>
            <w:r>
              <w:rPr>
                <w:rStyle w:val="Emphasis"/>
                <w:color w:val="666666"/>
                <w:shd w:val="clear" w:color="auto" w:fill="FFFCF0"/>
              </w:rPr>
              <w:t>A</w:t>
            </w:r>
            <w:r>
              <w:rPr>
                <w:color w:val="666666"/>
                <w:shd w:val="clear" w:color="auto" w:fill="FFFCF0"/>
              </w:rPr>
              <w:t>) Counts of appointment types by month. (</w:t>
            </w:r>
            <w:r>
              <w:rPr>
                <w:rStyle w:val="Emphasis"/>
                <w:color w:val="666666"/>
                <w:shd w:val="clear" w:color="auto" w:fill="FFFCF0"/>
              </w:rPr>
              <w:t>B</w:t>
            </w:r>
            <w:r>
              <w:rPr>
                <w:color w:val="666666"/>
                <w:shd w:val="clear" w:color="auto" w:fill="FFFCF0"/>
              </w:rPr>
              <w:t>) An interrupted time series analysis of percentage of patients with 6 parameter composite endpoints within 3 months after initial e-consult. No significant immediate level change (β</w:t>
            </w:r>
            <w:r>
              <w:rPr>
                <w:color w:val="666666"/>
                <w:sz w:val="20"/>
                <w:szCs w:val="20"/>
                <w:shd w:val="clear" w:color="auto" w:fill="FFFCF0"/>
                <w:vertAlign w:val="subscript"/>
              </w:rPr>
              <w:t>2</w:t>
            </w:r>
            <w:r>
              <w:rPr>
                <w:color w:val="666666"/>
                <w:shd w:val="clear" w:color="auto" w:fill="FFFCF0"/>
              </w:rPr>
              <w:t>: 95% confidence interval, –4.9 to 2.7; </w:t>
            </w:r>
            <w:r>
              <w:rPr>
                <w:rStyle w:val="Emphasis"/>
                <w:color w:val="666666"/>
                <w:shd w:val="clear" w:color="auto" w:fill="FFFCF0"/>
              </w:rPr>
              <w:t>P</w:t>
            </w:r>
            <w:r>
              <w:rPr>
                <w:color w:val="666666"/>
                <w:shd w:val="clear" w:color="auto" w:fill="FFFCF0"/>
              </w:rPr>
              <w:t> = .58) or sustained trend change (β</w:t>
            </w:r>
            <w:r>
              <w:rPr>
                <w:color w:val="666666"/>
                <w:sz w:val="20"/>
                <w:szCs w:val="20"/>
                <w:shd w:val="clear" w:color="auto" w:fill="FFFCF0"/>
                <w:vertAlign w:val="subscript"/>
              </w:rPr>
              <w:t>3</w:t>
            </w:r>
            <w:r>
              <w:rPr>
                <w:color w:val="666666"/>
                <w:shd w:val="clear" w:color="auto" w:fill="FFFCF0"/>
              </w:rPr>
              <w:t>: 95% confidence interval, –1.0 to 0.2; </w:t>
            </w:r>
            <w:r>
              <w:rPr>
                <w:rStyle w:val="Emphasis"/>
                <w:color w:val="666666"/>
                <w:shd w:val="clear" w:color="auto" w:fill="FFFCF0"/>
              </w:rPr>
              <w:t>P</w:t>
            </w:r>
            <w:r>
              <w:rPr>
                <w:color w:val="666666"/>
                <w:shd w:val="clear" w:color="auto" w:fill="FFFCF0"/>
              </w:rPr>
              <w:t> = .25) was found. The trend regression lines with 95% confidence interval </w:t>
            </w:r>
            <w:r>
              <w:rPr>
                <w:rStyle w:val="Emphasis"/>
                <w:color w:val="666666"/>
                <w:shd w:val="clear" w:color="auto" w:fill="FFFCF0"/>
              </w:rPr>
              <w:t>shaded bands</w:t>
            </w:r>
            <w:r>
              <w:rPr>
                <w:color w:val="666666"/>
                <w:shd w:val="clear" w:color="auto" w:fill="FFFCF0"/>
              </w:rPr>
              <w:t> of the predicted values are provided</w:t>
            </w:r>
          </w:p>
        </w:tc>
      </w:tr>
    </w:tbl>
    <w:bookmarkEnd w:id="0"/>
    <w:p w14:paraId="62800767" w14:textId="6B8782F3" w:rsidR="00FE6194" w:rsidRDefault="00F42B96" w:rsidP="00C73A94">
      <w:pPr>
        <w:spacing w:after="0"/>
      </w:pPr>
      <w:r>
        <w:rPr>
          <w:noProof/>
        </w:rPr>
        <w:lastRenderedPageBreak/>
        <w:drawing>
          <wp:inline distT="0" distB="0" distL="0" distR="0" wp14:anchorId="48B78E73" wp14:editId="44E0BA74">
            <wp:extent cx="5269240" cy="533019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50" cy="53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740F5"/>
    <w:rsid w:val="003D755D"/>
    <w:rsid w:val="003E27D1"/>
    <w:rsid w:val="003E34C5"/>
    <w:rsid w:val="00422DDC"/>
    <w:rsid w:val="0048655A"/>
    <w:rsid w:val="00514319"/>
    <w:rsid w:val="006D32D2"/>
    <w:rsid w:val="0072563B"/>
    <w:rsid w:val="00777238"/>
    <w:rsid w:val="008131C8"/>
    <w:rsid w:val="00835F2A"/>
    <w:rsid w:val="00860004"/>
    <w:rsid w:val="008A7C90"/>
    <w:rsid w:val="008D6756"/>
    <w:rsid w:val="009001F2"/>
    <w:rsid w:val="00933309"/>
    <w:rsid w:val="00A16BB1"/>
    <w:rsid w:val="00B4717D"/>
    <w:rsid w:val="00C3487D"/>
    <w:rsid w:val="00C37C4F"/>
    <w:rsid w:val="00C4025A"/>
    <w:rsid w:val="00C73A94"/>
    <w:rsid w:val="00CB0455"/>
    <w:rsid w:val="00CF4301"/>
    <w:rsid w:val="00D003F1"/>
    <w:rsid w:val="00D24534"/>
    <w:rsid w:val="00EB0401"/>
    <w:rsid w:val="00EF635D"/>
    <w:rsid w:val="00F42B96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pubmed.ncbi.nlm.nih.gov/3307534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B0F7A-13E2-42CF-B6A6-4A360F053AA0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9</cp:revision>
  <dcterms:created xsi:type="dcterms:W3CDTF">2020-12-21T16:59:00Z</dcterms:created>
  <dcterms:modified xsi:type="dcterms:W3CDTF">2021-06-01T18:17:00Z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