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9E04" w14:textId="5EA3D58F" w:rsidR="00DD0DD1" w:rsidRPr="00DD0DD1" w:rsidRDefault="00DD0DD1" w:rsidP="00DD0DD1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color w:val="000000"/>
        </w:rPr>
      </w:pPr>
      <w:bookmarkStart w:id="0" w:name="_Hlk46295473"/>
      <w:bookmarkStart w:id="1" w:name="_Hlk56001192"/>
      <w:r>
        <w:rPr>
          <w:rFonts w:cstheme="minorHAnsi"/>
          <w:b/>
          <w:bCs/>
          <w:color w:val="000000"/>
        </w:rPr>
        <w:t>The i</w:t>
      </w:r>
      <w:r w:rsidRPr="00DD0DD1">
        <w:rPr>
          <w:rFonts w:cstheme="minorHAnsi"/>
          <w:b/>
          <w:bCs/>
          <w:color w:val="000000"/>
        </w:rPr>
        <w:t xml:space="preserve">ncidence of venous thromboembolism </w:t>
      </w:r>
      <w:r>
        <w:rPr>
          <w:rFonts w:cstheme="minorHAnsi"/>
          <w:b/>
          <w:bCs/>
          <w:color w:val="000000"/>
        </w:rPr>
        <w:t>is similar in outpatients</w:t>
      </w:r>
      <w:r w:rsidRPr="00DD0DD1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with and without</w:t>
      </w:r>
      <w:r w:rsidRPr="00DD0DD1">
        <w:rPr>
          <w:rFonts w:cstheme="minorHAnsi"/>
          <w:b/>
          <w:bCs/>
          <w:color w:val="000000"/>
        </w:rPr>
        <w:t xml:space="preserve"> SARS-CoV-2 infection</w:t>
      </w:r>
      <w:bookmarkEnd w:id="0"/>
    </w:p>
    <w:p w14:paraId="62E5398E" w14:textId="69B82873" w:rsidR="00B96322" w:rsidRPr="00DD0DD1" w:rsidRDefault="00B96322" w:rsidP="00B96322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0DD1">
        <w:rPr>
          <w:rFonts w:cstheme="minorHAnsi"/>
          <w:color w:val="000000"/>
        </w:rPr>
        <w:t>Nareg Roubinian MD; Jennifer Dusendang MPH; Dustin Mark MD; David Vinson, MD; Vincent Liu, MD; Julie Schmittdiel PhD; Ashok Pai, MD</w:t>
      </w:r>
    </w:p>
    <w:bookmarkEnd w:id="1"/>
    <w:p w14:paraId="7FCD574A" w14:textId="7E321890" w:rsidR="008A7C90" w:rsidRDefault="008A7C90" w:rsidP="00D24534">
      <w:pPr>
        <w:spacing w:after="0"/>
      </w:pP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1894"/>
        <w:gridCol w:w="8896"/>
      </w:tblGrid>
      <w:tr w:rsidR="0048655A" w:rsidRPr="008A7C90" w14:paraId="307289BF" w14:textId="77777777" w:rsidTr="009B4B85">
        <w:trPr>
          <w:trHeight w:val="620"/>
        </w:trPr>
        <w:tc>
          <w:tcPr>
            <w:tcW w:w="1587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2" w:name="_Hlk54105970"/>
            <w:r w:rsidRPr="008A7C90">
              <w:t>Challenge</w:t>
            </w:r>
          </w:p>
        </w:tc>
        <w:tc>
          <w:tcPr>
            <w:tcW w:w="9203" w:type="dxa"/>
          </w:tcPr>
          <w:p w14:paraId="7F9273D4" w14:textId="4C84A80C" w:rsidR="0048655A" w:rsidRPr="0031051B" w:rsidRDefault="00DD0DD1" w:rsidP="0048655A">
            <w:pPr>
              <w:spacing w:line="259" w:lineRule="auto"/>
              <w:rPr>
                <w:b/>
                <w:bCs/>
              </w:rPr>
            </w:pPr>
            <w:r>
              <w:t>The incidence</w:t>
            </w:r>
            <w:r w:rsidR="00B96322">
              <w:t xml:space="preserve"> of</w:t>
            </w:r>
            <w:r>
              <w:t xml:space="preserve"> </w:t>
            </w:r>
            <w:r w:rsidR="00B96322">
              <w:t xml:space="preserve">venous thromboembolic events and benefit </w:t>
            </w:r>
            <w:r>
              <w:t>of</w:t>
            </w:r>
            <w:r w:rsidR="00B96322">
              <w:t xml:space="preserve"> thromboprophylaxis in </w:t>
            </w:r>
            <w:r>
              <w:t xml:space="preserve">outpatients with </w:t>
            </w:r>
            <w:r w:rsidR="00B96322">
              <w:t>Coronavirus disease 2019 (COVID-19) are not well established</w:t>
            </w:r>
          </w:p>
        </w:tc>
      </w:tr>
      <w:tr w:rsidR="0048655A" w:rsidRPr="008A7C90" w14:paraId="67D435C8" w14:textId="77777777" w:rsidTr="009B4B85">
        <w:trPr>
          <w:trHeight w:val="623"/>
        </w:trPr>
        <w:tc>
          <w:tcPr>
            <w:tcW w:w="1587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9203" w:type="dxa"/>
          </w:tcPr>
          <w:p w14:paraId="70041630" w14:textId="1D9A1FCC" w:rsidR="0048655A" w:rsidRPr="008A7C90" w:rsidRDefault="00B96322" w:rsidP="0048655A">
            <w:pPr>
              <w:spacing w:line="259" w:lineRule="auto"/>
            </w:pPr>
            <w:r>
              <w:t xml:space="preserve">Several studies demonstrate that hospitalized </w:t>
            </w:r>
            <w:r w:rsidR="00DD0DD1">
              <w:t xml:space="preserve">COVID-19 </w:t>
            </w:r>
            <w:r>
              <w:t>patients have a high rate of thromboembolic complications</w:t>
            </w:r>
            <w:r w:rsidR="00DD0DD1">
              <w:t xml:space="preserve"> which are associated with increased mortality</w:t>
            </w:r>
          </w:p>
        </w:tc>
      </w:tr>
      <w:tr w:rsidR="0048655A" w:rsidRPr="008A7C90" w14:paraId="136E6453" w14:textId="77777777" w:rsidTr="000249E3">
        <w:trPr>
          <w:trHeight w:val="262"/>
        </w:trPr>
        <w:tc>
          <w:tcPr>
            <w:tcW w:w="1587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9203" w:type="dxa"/>
          </w:tcPr>
          <w:p w14:paraId="1486D38C" w14:textId="5AA65948" w:rsidR="0048655A" w:rsidRPr="008A7C90" w:rsidRDefault="00B96322" w:rsidP="0048655A">
            <w:pPr>
              <w:spacing w:line="259" w:lineRule="auto"/>
            </w:pPr>
            <w:r>
              <w:t xml:space="preserve">Symptomatic </w:t>
            </w:r>
            <w:r w:rsidR="00DD0DD1">
              <w:t xml:space="preserve">adult </w:t>
            </w:r>
            <w:r>
              <w:t>patients tested for SARS-CoV-2 infection</w:t>
            </w:r>
          </w:p>
        </w:tc>
      </w:tr>
      <w:tr w:rsidR="0048655A" w:rsidRPr="008A7C90" w14:paraId="5B80BED5" w14:textId="77777777" w:rsidTr="000249E3">
        <w:trPr>
          <w:trHeight w:val="276"/>
        </w:trPr>
        <w:tc>
          <w:tcPr>
            <w:tcW w:w="1587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9203" w:type="dxa"/>
          </w:tcPr>
          <w:p w14:paraId="0CA2C589" w14:textId="0716513B" w:rsidR="0048655A" w:rsidRPr="008A7C90" w:rsidRDefault="00B96322" w:rsidP="0048655A">
            <w:pPr>
              <w:spacing w:line="259" w:lineRule="auto"/>
            </w:pPr>
            <w:r>
              <w:t>SARS-CoV-2 infection</w:t>
            </w:r>
            <w:r w:rsidR="0048655A" w:rsidRPr="008A7C90">
              <w:t xml:space="preserve"> </w:t>
            </w:r>
          </w:p>
        </w:tc>
      </w:tr>
      <w:tr w:rsidR="0048655A" w:rsidRPr="008A7C90" w14:paraId="13978FD3" w14:textId="77777777" w:rsidTr="009B4B85">
        <w:trPr>
          <w:trHeight w:val="812"/>
        </w:trPr>
        <w:tc>
          <w:tcPr>
            <w:tcW w:w="1587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9203" w:type="dxa"/>
          </w:tcPr>
          <w:p w14:paraId="3CD35CB0" w14:textId="3CC29E77" w:rsidR="0048655A" w:rsidRPr="00B96322" w:rsidRDefault="00B96322" w:rsidP="0031051B">
            <w:pPr>
              <w:spacing w:line="259" w:lineRule="auto"/>
              <w:rPr>
                <w:b/>
              </w:rPr>
            </w:pPr>
            <w:r>
              <w:rPr>
                <w:b/>
              </w:rPr>
              <w:t>Rates of venous thromboembolism in outpatients with COVID-19 were not significantly different from symptomatic SARS-CoV-2 negative patients</w:t>
            </w:r>
          </w:p>
        </w:tc>
      </w:tr>
      <w:tr w:rsidR="0048655A" w:rsidRPr="008A7C90" w14:paraId="62542513" w14:textId="77777777" w:rsidTr="009B4B85">
        <w:trPr>
          <w:trHeight w:val="713"/>
        </w:trPr>
        <w:tc>
          <w:tcPr>
            <w:tcW w:w="1587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9203" w:type="dxa"/>
          </w:tcPr>
          <w:p w14:paraId="092B6F29" w14:textId="38F84FE5" w:rsidR="0048655A" w:rsidRPr="00EF635D" w:rsidRDefault="00DD0DD1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KP regional a</w:t>
            </w:r>
            <w:r w:rsidR="00B96322">
              <w:rPr>
                <w:b/>
                <w:bCs/>
              </w:rPr>
              <w:t xml:space="preserve">nticoagulation guidelines do not need to be modified to </w:t>
            </w:r>
            <w:r>
              <w:rPr>
                <w:b/>
                <w:bCs/>
              </w:rPr>
              <w:t>offer</w:t>
            </w:r>
            <w:r w:rsidR="00B96322">
              <w:rPr>
                <w:b/>
                <w:bCs/>
              </w:rPr>
              <w:t xml:space="preserve"> thromboprophylaxis to outpatients with SARS-CoV-2 infection</w:t>
            </w:r>
            <w:r w:rsidR="006C3D0A">
              <w:rPr>
                <w:b/>
                <w:bCs/>
              </w:rPr>
              <w:t>, pending results from randomized trials.</w:t>
            </w:r>
          </w:p>
        </w:tc>
      </w:tr>
      <w:tr w:rsidR="00CB0455" w:rsidRPr="008A7C90" w14:paraId="57800790" w14:textId="77777777" w:rsidTr="000249E3">
        <w:trPr>
          <w:trHeight w:val="816"/>
        </w:trPr>
        <w:tc>
          <w:tcPr>
            <w:tcW w:w="1587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9203" w:type="dxa"/>
          </w:tcPr>
          <w:p w14:paraId="08163871" w14:textId="23FDBFE4" w:rsidR="00CB0455" w:rsidRPr="00EB0401" w:rsidRDefault="009B4B85" w:rsidP="0048655A">
            <w:r>
              <w:t xml:space="preserve">Dissemination of the results to </w:t>
            </w:r>
            <w:r>
              <w:t>frontline physicians (e.g. hospitalists and primary care)</w:t>
            </w:r>
            <w:r>
              <w:t xml:space="preserve"> to inform future practice/research.</w:t>
            </w:r>
          </w:p>
        </w:tc>
      </w:tr>
      <w:tr w:rsidR="0048655A" w:rsidRPr="008A7C90" w14:paraId="21F6FB6D" w14:textId="77777777" w:rsidTr="000249E3">
        <w:trPr>
          <w:trHeight w:val="552"/>
        </w:trPr>
        <w:tc>
          <w:tcPr>
            <w:tcW w:w="1587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9203" w:type="dxa"/>
          </w:tcPr>
          <w:p w14:paraId="35B5FEA6" w14:textId="1340B605" w:rsidR="0048655A" w:rsidRPr="008A7C90" w:rsidRDefault="00C73A94" w:rsidP="0048655A">
            <w:pPr>
              <w:spacing w:line="259" w:lineRule="auto"/>
            </w:pPr>
            <w:r>
              <w:t>N</w:t>
            </w:r>
            <w:r w:rsidR="009B4B85">
              <w:t>/A</w:t>
            </w:r>
          </w:p>
        </w:tc>
      </w:tr>
      <w:tr w:rsidR="0048655A" w:rsidRPr="008A7C90" w14:paraId="02D4678D" w14:textId="77777777" w:rsidTr="000249E3">
        <w:trPr>
          <w:trHeight w:val="552"/>
        </w:trPr>
        <w:tc>
          <w:tcPr>
            <w:tcW w:w="1587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9203" w:type="dxa"/>
          </w:tcPr>
          <w:p w14:paraId="0D25EBD1" w14:textId="3BF84A9B" w:rsidR="0048655A" w:rsidRPr="008A7C90" w:rsidRDefault="006C3D0A" w:rsidP="0048655A">
            <w:pPr>
              <w:spacing w:line="259" w:lineRule="auto"/>
            </w:pPr>
            <w:r>
              <w:t>Could evaluate proportions of patients empirically started on these agents before/after these findings are disseminated.</w:t>
            </w:r>
            <w:bookmarkStart w:id="3" w:name="_GoBack"/>
            <w:bookmarkEnd w:id="3"/>
          </w:p>
        </w:tc>
      </w:tr>
    </w:tbl>
    <w:p w14:paraId="1156A57B" w14:textId="77777777" w:rsidR="000249E3" w:rsidRDefault="000249E3">
      <w:r>
        <w:br w:type="page"/>
      </w: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1399"/>
        <w:gridCol w:w="9391"/>
      </w:tblGrid>
      <w:tr w:rsidR="0048655A" w:rsidRPr="000249E3" w14:paraId="66558595" w14:textId="77777777" w:rsidTr="000249E3">
        <w:trPr>
          <w:trHeight w:val="538"/>
        </w:trPr>
        <w:tc>
          <w:tcPr>
            <w:tcW w:w="1587" w:type="dxa"/>
          </w:tcPr>
          <w:p w14:paraId="29954FA9" w14:textId="06E4C498" w:rsidR="0048655A" w:rsidRPr="000249E3" w:rsidRDefault="0048655A" w:rsidP="0048655A">
            <w:pPr>
              <w:spacing w:line="259" w:lineRule="auto"/>
              <w:rPr>
                <w:rFonts w:cstheme="minorHAnsi"/>
              </w:rPr>
            </w:pPr>
            <w:r w:rsidRPr="000249E3">
              <w:rPr>
                <w:rFonts w:cstheme="minorHAnsi"/>
              </w:rPr>
              <w:lastRenderedPageBreak/>
              <w:t>Reference</w:t>
            </w:r>
          </w:p>
        </w:tc>
        <w:tc>
          <w:tcPr>
            <w:tcW w:w="9203" w:type="dxa"/>
          </w:tcPr>
          <w:p w14:paraId="175AFAC1" w14:textId="77777777" w:rsidR="000249E3" w:rsidRDefault="000249E3" w:rsidP="000249E3">
            <w:pPr>
              <w:rPr>
                <w:rFonts w:eastAsia="GuardianTextEgypGR-Regular" w:cstheme="minorHAnsi"/>
                <w:color w:val="000000"/>
                <w:sz w:val="20"/>
                <w:szCs w:val="20"/>
              </w:rPr>
            </w:pPr>
          </w:p>
          <w:p w14:paraId="31B9530A" w14:textId="77777777" w:rsidR="000249E3" w:rsidRDefault="000249E3" w:rsidP="000249E3">
            <w:pPr>
              <w:rPr>
                <w:rFonts w:eastAsia="GuardianTextEgypGR-Regular" w:cstheme="minorHAnsi"/>
                <w:color w:val="000000"/>
                <w:sz w:val="20"/>
                <w:szCs w:val="20"/>
              </w:rPr>
            </w:pPr>
          </w:p>
          <w:p w14:paraId="4F5175D4" w14:textId="48A2BEB7" w:rsidR="000249E3" w:rsidRPr="000249E3" w:rsidRDefault="000249E3" w:rsidP="000249E3">
            <w:pPr>
              <w:jc w:val="center"/>
              <w:rPr>
                <w:rFonts w:eastAsia="GuardianTextEgypGR-Regular" w:cstheme="minorHAnsi"/>
                <w:color w:val="000000"/>
                <w:sz w:val="24"/>
              </w:rPr>
            </w:pPr>
            <w:r w:rsidRPr="000249E3">
              <w:rPr>
                <w:rFonts w:eastAsia="GuardianTextEgypGR-Regular" w:cstheme="minorHAnsi"/>
                <w:color w:val="000000"/>
                <w:szCs w:val="20"/>
              </w:rPr>
              <w:t>Characteristics of subjects by SARS-CoV-2 and VTE status (N=220,588)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72"/>
              <w:gridCol w:w="1591"/>
              <w:gridCol w:w="1204"/>
              <w:gridCol w:w="195"/>
              <w:gridCol w:w="156"/>
              <w:gridCol w:w="73"/>
              <w:gridCol w:w="1429"/>
              <w:gridCol w:w="1745"/>
            </w:tblGrid>
            <w:tr w:rsidR="000249E3" w:rsidRPr="000249E3" w14:paraId="47F0905D" w14:textId="77777777" w:rsidTr="00BB1E7A">
              <w:trPr>
                <w:trHeight w:val="254"/>
              </w:trPr>
              <w:tc>
                <w:tcPr>
                  <w:tcW w:w="1477" w:type="pct"/>
                  <w:tcBorders>
                    <w:top w:val="single" w:sz="4" w:space="0" w:color="auto"/>
                  </w:tcBorders>
                </w:tcPr>
                <w:p w14:paraId="03221CB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80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562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B42BA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SARS-CoV-2 positive patients</w:t>
                  </w:r>
                </w:p>
              </w:tc>
              <w:tc>
                <w:tcPr>
                  <w:tcW w:w="191" w:type="pct"/>
                  <w:gridSpan w:val="2"/>
                  <w:tcBorders>
                    <w:top w:val="single" w:sz="4" w:space="0" w:color="auto"/>
                  </w:tcBorders>
                </w:tcPr>
                <w:p w14:paraId="70FBDF6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77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B6E15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SARS-CoV-2 negative patients</w:t>
                  </w:r>
                </w:p>
              </w:tc>
            </w:tr>
            <w:tr w:rsidR="000249E3" w:rsidRPr="000249E3" w14:paraId="15394B85" w14:textId="77777777" w:rsidTr="00BB1E7A">
              <w:trPr>
                <w:trHeight w:val="254"/>
              </w:trPr>
              <w:tc>
                <w:tcPr>
                  <w:tcW w:w="1477" w:type="pct"/>
                  <w:tcBorders>
                    <w:bottom w:val="single" w:sz="4" w:space="0" w:color="auto"/>
                  </w:tcBorders>
                </w:tcPr>
                <w:p w14:paraId="72DF28FB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80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06" w:type="pct"/>
                  <w:gridSpan w:val="2"/>
                  <w:tcBorders>
                    <w:bottom w:val="single" w:sz="4" w:space="0" w:color="auto"/>
                  </w:tcBorders>
                </w:tcPr>
                <w:p w14:paraId="7634264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No VTE</w:t>
                  </w:r>
                </w:p>
                <w:p w14:paraId="49AD972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N=25,906</w:t>
                  </w:r>
                </w:p>
                <w:p w14:paraId="238CD53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 (%)</w:t>
                  </w:r>
                </w:p>
              </w:tc>
              <w:tc>
                <w:tcPr>
                  <w:tcW w:w="762" w:type="pct"/>
                  <w:gridSpan w:val="2"/>
                  <w:tcBorders>
                    <w:bottom w:val="single" w:sz="4" w:space="0" w:color="auto"/>
                  </w:tcBorders>
                </w:tcPr>
                <w:p w14:paraId="6CDD5AB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VTE</w:t>
                  </w:r>
                </w:p>
                <w:p w14:paraId="02EE7C0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N=198</w:t>
                  </w:r>
                </w:p>
                <w:p w14:paraId="1219902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 (%)</w:t>
                  </w:r>
                </w:p>
              </w:tc>
              <w:tc>
                <w:tcPr>
                  <w:tcW w:w="125" w:type="pct"/>
                  <w:gridSpan w:val="2"/>
                  <w:tcBorders>
                    <w:bottom w:val="single" w:sz="4" w:space="0" w:color="auto"/>
                  </w:tcBorders>
                </w:tcPr>
                <w:p w14:paraId="79BD1AE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bottom w:val="single" w:sz="4" w:space="0" w:color="auto"/>
                  </w:tcBorders>
                </w:tcPr>
                <w:p w14:paraId="66BE6A8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No VTE</w:t>
                  </w:r>
                </w:p>
                <w:p w14:paraId="320ACAF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N=193,476</w:t>
                  </w:r>
                </w:p>
                <w:p w14:paraId="631A19F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 (%)</w:t>
                  </w:r>
                </w:p>
              </w:tc>
              <w:tc>
                <w:tcPr>
                  <w:tcW w:w="951" w:type="pct"/>
                  <w:tcBorders>
                    <w:bottom w:val="single" w:sz="4" w:space="0" w:color="auto"/>
                  </w:tcBorders>
                </w:tcPr>
                <w:p w14:paraId="7B63BCB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VTE</w:t>
                  </w:r>
                </w:p>
                <w:p w14:paraId="3C4BFFC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N=1,008</w:t>
                  </w:r>
                </w:p>
                <w:p w14:paraId="4AA0C88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 (%)</w:t>
                  </w:r>
                </w:p>
              </w:tc>
            </w:tr>
            <w:tr w:rsidR="000249E3" w:rsidRPr="000249E3" w14:paraId="6C51694A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  <w:tcBorders>
                    <w:top w:val="single" w:sz="4" w:space="0" w:color="auto"/>
                  </w:tcBorders>
                </w:tcPr>
                <w:p w14:paraId="5212DF7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80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Age, years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</w:tcBorders>
                </w:tcPr>
                <w:p w14:paraId="3912DFB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  <w:tcBorders>
                    <w:top w:val="single" w:sz="4" w:space="0" w:color="auto"/>
                  </w:tcBorders>
                </w:tcPr>
                <w:p w14:paraId="241E793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  <w:tcBorders>
                    <w:top w:val="single" w:sz="4" w:space="0" w:color="auto"/>
                  </w:tcBorders>
                </w:tcPr>
                <w:p w14:paraId="401D93E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</w:tcBorders>
                </w:tcPr>
                <w:p w14:paraId="49C05CC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</w:tcBorders>
                </w:tcPr>
                <w:p w14:paraId="73B4709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57206482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A411A85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18-29</w:t>
                  </w:r>
                </w:p>
              </w:tc>
              <w:tc>
                <w:tcPr>
                  <w:tcW w:w="867" w:type="pct"/>
                </w:tcPr>
                <w:p w14:paraId="7EA323A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5925 (23)</w:t>
                  </w:r>
                </w:p>
              </w:tc>
              <w:tc>
                <w:tcPr>
                  <w:tcW w:w="762" w:type="pct"/>
                  <w:gridSpan w:val="2"/>
                </w:tcPr>
                <w:p w14:paraId="539C890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14 (7)</w:t>
                  </w:r>
                </w:p>
              </w:tc>
              <w:tc>
                <w:tcPr>
                  <w:tcW w:w="125" w:type="pct"/>
                  <w:gridSpan w:val="2"/>
                </w:tcPr>
                <w:p w14:paraId="3740A73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65C614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34180 (18)</w:t>
                  </w:r>
                </w:p>
              </w:tc>
              <w:tc>
                <w:tcPr>
                  <w:tcW w:w="951" w:type="pct"/>
                </w:tcPr>
                <w:p w14:paraId="610D526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 (3)</w:t>
                  </w:r>
                </w:p>
              </w:tc>
            </w:tr>
            <w:tr w:rsidR="000249E3" w:rsidRPr="000249E3" w14:paraId="040976B6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10BCB68E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30-39</w:t>
                  </w:r>
                </w:p>
              </w:tc>
              <w:tc>
                <w:tcPr>
                  <w:tcW w:w="867" w:type="pct"/>
                </w:tcPr>
                <w:p w14:paraId="32B42B9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5670 (22)</w:t>
                  </w:r>
                </w:p>
              </w:tc>
              <w:tc>
                <w:tcPr>
                  <w:tcW w:w="762" w:type="pct"/>
                  <w:gridSpan w:val="2"/>
                </w:tcPr>
                <w:p w14:paraId="44F84C8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19 (10)</w:t>
                  </w:r>
                </w:p>
              </w:tc>
              <w:tc>
                <w:tcPr>
                  <w:tcW w:w="125" w:type="pct"/>
                  <w:gridSpan w:val="2"/>
                </w:tcPr>
                <w:p w14:paraId="049D356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E179B0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41102 (21)</w:t>
                  </w:r>
                </w:p>
              </w:tc>
              <w:tc>
                <w:tcPr>
                  <w:tcW w:w="951" w:type="pct"/>
                </w:tcPr>
                <w:p w14:paraId="0AA200E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47 (5)</w:t>
                  </w:r>
                </w:p>
              </w:tc>
            </w:tr>
            <w:tr w:rsidR="000249E3" w:rsidRPr="000249E3" w14:paraId="55FE148C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A1BE0F5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40-49</w:t>
                  </w:r>
                </w:p>
              </w:tc>
              <w:tc>
                <w:tcPr>
                  <w:tcW w:w="867" w:type="pct"/>
                </w:tcPr>
                <w:p w14:paraId="1A9203B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5451 (21)</w:t>
                  </w:r>
                </w:p>
              </w:tc>
              <w:tc>
                <w:tcPr>
                  <w:tcW w:w="762" w:type="pct"/>
                  <w:gridSpan w:val="2"/>
                </w:tcPr>
                <w:p w14:paraId="6EA5BF9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38 (19)</w:t>
                  </w:r>
                </w:p>
              </w:tc>
              <w:tc>
                <w:tcPr>
                  <w:tcW w:w="125" w:type="pct"/>
                  <w:gridSpan w:val="2"/>
                </w:tcPr>
                <w:p w14:paraId="67B53AC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E9D0CF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36432 (19)</w:t>
                  </w:r>
                </w:p>
              </w:tc>
              <w:tc>
                <w:tcPr>
                  <w:tcW w:w="951" w:type="pct"/>
                </w:tcPr>
                <w:p w14:paraId="5A06E7F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89 (9)</w:t>
                  </w:r>
                </w:p>
              </w:tc>
            </w:tr>
            <w:tr w:rsidR="000249E3" w:rsidRPr="000249E3" w14:paraId="4F851544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F671794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50-59</w:t>
                  </w:r>
                </w:p>
              </w:tc>
              <w:tc>
                <w:tcPr>
                  <w:tcW w:w="867" w:type="pct"/>
                </w:tcPr>
                <w:p w14:paraId="01003EA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4682 (18)</w:t>
                  </w:r>
                </w:p>
              </w:tc>
              <w:tc>
                <w:tcPr>
                  <w:tcW w:w="762" w:type="pct"/>
                  <w:gridSpan w:val="2"/>
                </w:tcPr>
                <w:p w14:paraId="016FE41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48 (24)</w:t>
                  </w:r>
                </w:p>
              </w:tc>
              <w:tc>
                <w:tcPr>
                  <w:tcW w:w="125" w:type="pct"/>
                  <w:gridSpan w:val="2"/>
                </w:tcPr>
                <w:p w14:paraId="3C8CDC0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2E2EAC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33676 (17)</w:t>
                  </w:r>
                </w:p>
              </w:tc>
              <w:tc>
                <w:tcPr>
                  <w:tcW w:w="951" w:type="pct"/>
                </w:tcPr>
                <w:p w14:paraId="5656804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152 (15)</w:t>
                  </w:r>
                </w:p>
              </w:tc>
            </w:tr>
            <w:tr w:rsidR="000249E3" w:rsidRPr="000249E3" w14:paraId="150001CA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3F8DB5E2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60-69</w:t>
                  </w:r>
                </w:p>
              </w:tc>
              <w:tc>
                <w:tcPr>
                  <w:tcW w:w="867" w:type="pct"/>
                </w:tcPr>
                <w:p w14:paraId="3A87735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2655 (10)</w:t>
                  </w:r>
                </w:p>
              </w:tc>
              <w:tc>
                <w:tcPr>
                  <w:tcW w:w="762" w:type="pct"/>
                  <w:gridSpan w:val="2"/>
                </w:tcPr>
                <w:p w14:paraId="795FF0E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40 (20)</w:t>
                  </w:r>
                </w:p>
              </w:tc>
              <w:tc>
                <w:tcPr>
                  <w:tcW w:w="125" w:type="pct"/>
                  <w:gridSpan w:val="2"/>
                </w:tcPr>
                <w:p w14:paraId="70AA694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496614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25593 (13)</w:t>
                  </w:r>
                </w:p>
              </w:tc>
              <w:tc>
                <w:tcPr>
                  <w:tcW w:w="951" w:type="pct"/>
                </w:tcPr>
                <w:p w14:paraId="281DA99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245 (24)</w:t>
                  </w:r>
                </w:p>
              </w:tc>
            </w:tr>
            <w:tr w:rsidR="000249E3" w:rsidRPr="000249E3" w14:paraId="4CD4ACE4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3C51667E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70-79</w:t>
                  </w:r>
                </w:p>
              </w:tc>
              <w:tc>
                <w:tcPr>
                  <w:tcW w:w="867" w:type="pct"/>
                </w:tcPr>
                <w:p w14:paraId="19D5CDE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984 (4)</w:t>
                  </w:r>
                </w:p>
              </w:tc>
              <w:tc>
                <w:tcPr>
                  <w:tcW w:w="762" w:type="pct"/>
                  <w:gridSpan w:val="2"/>
                </w:tcPr>
                <w:p w14:paraId="3A48365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26 (13)</w:t>
                  </w:r>
                </w:p>
              </w:tc>
              <w:tc>
                <w:tcPr>
                  <w:tcW w:w="125" w:type="pct"/>
                  <w:gridSpan w:val="2"/>
                </w:tcPr>
                <w:p w14:paraId="7F5955E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141AF3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14382 (7)</w:t>
                  </w:r>
                </w:p>
              </w:tc>
              <w:tc>
                <w:tcPr>
                  <w:tcW w:w="951" w:type="pct"/>
                </w:tcPr>
                <w:p w14:paraId="6FEC06F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234 (23)</w:t>
                  </w:r>
                </w:p>
              </w:tc>
            </w:tr>
            <w:tr w:rsidR="000249E3" w:rsidRPr="000249E3" w14:paraId="08BC7DD4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15F97B4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80+</w:t>
                  </w:r>
                </w:p>
              </w:tc>
              <w:tc>
                <w:tcPr>
                  <w:tcW w:w="867" w:type="pct"/>
                </w:tcPr>
                <w:p w14:paraId="1EFAFB1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539 (2)</w:t>
                  </w:r>
                </w:p>
              </w:tc>
              <w:tc>
                <w:tcPr>
                  <w:tcW w:w="762" w:type="pct"/>
                  <w:gridSpan w:val="2"/>
                </w:tcPr>
                <w:p w14:paraId="1D800A0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13 (7)</w:t>
                  </w:r>
                </w:p>
              </w:tc>
              <w:tc>
                <w:tcPr>
                  <w:tcW w:w="125" w:type="pct"/>
                  <w:gridSpan w:val="2"/>
                </w:tcPr>
                <w:p w14:paraId="540CC85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96E94B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8111 (4)</w:t>
                  </w:r>
                </w:p>
              </w:tc>
              <w:tc>
                <w:tcPr>
                  <w:tcW w:w="951" w:type="pct"/>
                </w:tcPr>
                <w:p w14:paraId="724CD60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213 (21)</w:t>
                  </w:r>
                </w:p>
              </w:tc>
            </w:tr>
            <w:tr w:rsidR="000249E3" w:rsidRPr="000249E3" w14:paraId="3CFDCD9D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233DE0B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Median (IQR)</w:t>
                  </w:r>
                </w:p>
              </w:tc>
              <w:tc>
                <w:tcPr>
                  <w:tcW w:w="867" w:type="pct"/>
                </w:tcPr>
                <w:p w14:paraId="5ADA366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42 (31-55)</w:t>
                  </w:r>
                </w:p>
              </w:tc>
              <w:tc>
                <w:tcPr>
                  <w:tcW w:w="762" w:type="pct"/>
                  <w:gridSpan w:val="2"/>
                </w:tcPr>
                <w:p w14:paraId="006597D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 (45-67)</w:t>
                  </w:r>
                </w:p>
              </w:tc>
              <w:tc>
                <w:tcPr>
                  <w:tcW w:w="125" w:type="pct"/>
                  <w:gridSpan w:val="2"/>
                </w:tcPr>
                <w:p w14:paraId="547EA9B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A42659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46 (34-60)</w:t>
                  </w:r>
                </w:p>
              </w:tc>
              <w:tc>
                <w:tcPr>
                  <w:tcW w:w="951" w:type="pct"/>
                </w:tcPr>
                <w:p w14:paraId="0040475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68 (56-78)</w:t>
                  </w:r>
                </w:p>
              </w:tc>
            </w:tr>
            <w:tr w:rsidR="000249E3" w:rsidRPr="000249E3" w14:paraId="6B60B02C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6FC5E749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Sex</w:t>
                  </w:r>
                </w:p>
              </w:tc>
              <w:tc>
                <w:tcPr>
                  <w:tcW w:w="867" w:type="pct"/>
                </w:tcPr>
                <w:p w14:paraId="1646CF4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358AEF6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2E0FDC2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17D767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3535C8A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4099404D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7537693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Female</w:t>
                  </w:r>
                </w:p>
              </w:tc>
              <w:tc>
                <w:tcPr>
                  <w:tcW w:w="867" w:type="pct"/>
                </w:tcPr>
                <w:p w14:paraId="57F8E98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13649 (53)</w:t>
                  </w:r>
                </w:p>
              </w:tc>
              <w:tc>
                <w:tcPr>
                  <w:tcW w:w="762" w:type="pct"/>
                  <w:gridSpan w:val="2"/>
                </w:tcPr>
                <w:p w14:paraId="0322B65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79 (40)</w:t>
                  </w:r>
                </w:p>
              </w:tc>
              <w:tc>
                <w:tcPr>
                  <w:tcW w:w="125" w:type="pct"/>
                  <w:gridSpan w:val="2"/>
                </w:tcPr>
                <w:p w14:paraId="65B9A4C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DF2841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116837 (60)</w:t>
                  </w:r>
                </w:p>
              </w:tc>
              <w:tc>
                <w:tcPr>
                  <w:tcW w:w="951" w:type="pct"/>
                </w:tcPr>
                <w:p w14:paraId="7BC145A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510 (51)</w:t>
                  </w:r>
                </w:p>
              </w:tc>
            </w:tr>
            <w:tr w:rsidR="000249E3" w:rsidRPr="000249E3" w14:paraId="4171183D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5244ABE7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Male</w:t>
                  </w:r>
                </w:p>
              </w:tc>
              <w:tc>
                <w:tcPr>
                  <w:tcW w:w="867" w:type="pct"/>
                </w:tcPr>
                <w:p w14:paraId="2F83A64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12257 (47)</w:t>
                  </w:r>
                </w:p>
              </w:tc>
              <w:tc>
                <w:tcPr>
                  <w:tcW w:w="762" w:type="pct"/>
                  <w:gridSpan w:val="2"/>
                </w:tcPr>
                <w:p w14:paraId="688E676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119 (60)</w:t>
                  </w:r>
                </w:p>
              </w:tc>
              <w:tc>
                <w:tcPr>
                  <w:tcW w:w="125" w:type="pct"/>
                  <w:gridSpan w:val="2"/>
                </w:tcPr>
                <w:p w14:paraId="3A20C49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621975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76639 (40)</w:t>
                  </w:r>
                </w:p>
              </w:tc>
              <w:tc>
                <w:tcPr>
                  <w:tcW w:w="951" w:type="pct"/>
                </w:tcPr>
                <w:p w14:paraId="21B8967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498 (49)</w:t>
                  </w:r>
                </w:p>
              </w:tc>
            </w:tr>
            <w:tr w:rsidR="000249E3" w:rsidRPr="000249E3" w14:paraId="01FAAF8F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2ABBC12A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80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Race/ethnicity</w:t>
                  </w:r>
                </w:p>
              </w:tc>
              <w:tc>
                <w:tcPr>
                  <w:tcW w:w="867" w:type="pct"/>
                </w:tcPr>
                <w:p w14:paraId="7FEE3C6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7190149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3F7277F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570FE7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7AE017B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77D05BF5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92DBFF8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Asian</w:t>
                  </w:r>
                </w:p>
              </w:tc>
              <w:tc>
                <w:tcPr>
                  <w:tcW w:w="867" w:type="pct"/>
                </w:tcPr>
                <w:p w14:paraId="3B2A375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3176 (12)</w:t>
                  </w:r>
                </w:p>
              </w:tc>
              <w:tc>
                <w:tcPr>
                  <w:tcW w:w="762" w:type="pct"/>
                  <w:gridSpan w:val="2"/>
                </w:tcPr>
                <w:p w14:paraId="5D9A799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30 (15)</w:t>
                  </w:r>
                </w:p>
              </w:tc>
              <w:tc>
                <w:tcPr>
                  <w:tcW w:w="125" w:type="pct"/>
                  <w:gridSpan w:val="2"/>
                </w:tcPr>
                <w:p w14:paraId="0A38453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BC520C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32310 (17)</w:t>
                  </w:r>
                </w:p>
              </w:tc>
              <w:tc>
                <w:tcPr>
                  <w:tcW w:w="951" w:type="pct"/>
                </w:tcPr>
                <w:p w14:paraId="4486860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116 (12)</w:t>
                  </w:r>
                </w:p>
              </w:tc>
            </w:tr>
            <w:tr w:rsidR="000249E3" w:rsidRPr="000249E3" w14:paraId="6E213741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F64C6A9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Black</w:t>
                  </w:r>
                </w:p>
              </w:tc>
              <w:tc>
                <w:tcPr>
                  <w:tcW w:w="867" w:type="pct"/>
                </w:tcPr>
                <w:p w14:paraId="2825F03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1767 (7)</w:t>
                  </w:r>
                </w:p>
              </w:tc>
              <w:tc>
                <w:tcPr>
                  <w:tcW w:w="762" w:type="pct"/>
                  <w:gridSpan w:val="2"/>
                </w:tcPr>
                <w:p w14:paraId="527DA8B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 (13)</w:t>
                  </w:r>
                </w:p>
              </w:tc>
              <w:tc>
                <w:tcPr>
                  <w:tcW w:w="125" w:type="pct"/>
                  <w:gridSpan w:val="2"/>
                </w:tcPr>
                <w:p w14:paraId="39BDCDB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18ACF6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13857 (7)</w:t>
                  </w:r>
                </w:p>
              </w:tc>
              <w:tc>
                <w:tcPr>
                  <w:tcW w:w="951" w:type="pct"/>
                </w:tcPr>
                <w:p w14:paraId="0542C8E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105 (10)</w:t>
                  </w:r>
                </w:p>
              </w:tc>
            </w:tr>
            <w:tr w:rsidR="000249E3" w:rsidRPr="000249E3" w14:paraId="41354EBA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B519873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Hispanic</w:t>
                  </w:r>
                </w:p>
              </w:tc>
              <w:tc>
                <w:tcPr>
                  <w:tcW w:w="867" w:type="pct"/>
                </w:tcPr>
                <w:p w14:paraId="5452338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13116 (51)</w:t>
                  </w:r>
                </w:p>
              </w:tc>
              <w:tc>
                <w:tcPr>
                  <w:tcW w:w="762" w:type="pct"/>
                  <w:gridSpan w:val="2"/>
                </w:tcPr>
                <w:p w14:paraId="7090251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88 (44)</w:t>
                  </w:r>
                </w:p>
              </w:tc>
              <w:tc>
                <w:tcPr>
                  <w:tcW w:w="125" w:type="pct"/>
                  <w:gridSpan w:val="2"/>
                </w:tcPr>
                <w:p w14:paraId="64EB31F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DE9293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46857 (24)</w:t>
                  </w:r>
                </w:p>
              </w:tc>
              <w:tc>
                <w:tcPr>
                  <w:tcW w:w="951" w:type="pct"/>
                </w:tcPr>
                <w:p w14:paraId="64DE5A2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127 (13)</w:t>
                  </w:r>
                </w:p>
              </w:tc>
            </w:tr>
            <w:tr w:rsidR="000249E3" w:rsidRPr="000249E3" w14:paraId="3ACA2969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351A172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White</w:t>
                  </w:r>
                </w:p>
              </w:tc>
              <w:tc>
                <w:tcPr>
                  <w:tcW w:w="867" w:type="pct"/>
                </w:tcPr>
                <w:p w14:paraId="44F6137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5667 (22)</w:t>
                  </w:r>
                </w:p>
              </w:tc>
              <w:tc>
                <w:tcPr>
                  <w:tcW w:w="762" w:type="pct"/>
                  <w:gridSpan w:val="2"/>
                </w:tcPr>
                <w:p w14:paraId="2F56C60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45 (23)</w:t>
                  </w:r>
                </w:p>
              </w:tc>
              <w:tc>
                <w:tcPr>
                  <w:tcW w:w="125" w:type="pct"/>
                  <w:gridSpan w:val="2"/>
                </w:tcPr>
                <w:p w14:paraId="2EF8D58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B24C96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84398 (44)</w:t>
                  </w:r>
                </w:p>
              </w:tc>
              <w:tc>
                <w:tcPr>
                  <w:tcW w:w="951" w:type="pct"/>
                </w:tcPr>
                <w:p w14:paraId="6D50409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615 (61)</w:t>
                  </w:r>
                </w:p>
              </w:tc>
            </w:tr>
            <w:tr w:rsidR="000249E3" w:rsidRPr="000249E3" w14:paraId="1CB558DA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8A36B18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Missing/other</w:t>
                  </w:r>
                </w:p>
              </w:tc>
              <w:tc>
                <w:tcPr>
                  <w:tcW w:w="867" w:type="pct"/>
                </w:tcPr>
                <w:p w14:paraId="305082A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2180 (8)</w:t>
                  </w:r>
                </w:p>
              </w:tc>
              <w:tc>
                <w:tcPr>
                  <w:tcW w:w="762" w:type="pct"/>
                  <w:gridSpan w:val="2"/>
                </w:tcPr>
                <w:p w14:paraId="1BB0781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10 (5)</w:t>
                  </w:r>
                </w:p>
              </w:tc>
              <w:tc>
                <w:tcPr>
                  <w:tcW w:w="125" w:type="pct"/>
                  <w:gridSpan w:val="2"/>
                </w:tcPr>
                <w:p w14:paraId="5BFAD74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12193F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16054 (8)</w:t>
                  </w:r>
                </w:p>
              </w:tc>
              <w:tc>
                <w:tcPr>
                  <w:tcW w:w="951" w:type="pct"/>
                </w:tcPr>
                <w:p w14:paraId="4037188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45 (4)</w:t>
                  </w:r>
                </w:p>
              </w:tc>
            </w:tr>
            <w:tr w:rsidR="000249E3" w:rsidRPr="000249E3" w14:paraId="60015DAB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41E5A3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65"/>
                    <w:rPr>
                      <w:rFonts w:cstheme="minorHAnsi"/>
                      <w:szCs w:val="20"/>
                      <w:vertAlign w:val="superscript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Body mass index</w:t>
                  </w:r>
                </w:p>
              </w:tc>
              <w:tc>
                <w:tcPr>
                  <w:tcW w:w="867" w:type="pct"/>
                </w:tcPr>
                <w:p w14:paraId="4B76F01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2CE506D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6944E65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346395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08131B0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671DCDE1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2F735FCF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 xml:space="preserve">Underweight </w:t>
                  </w:r>
                </w:p>
              </w:tc>
              <w:tc>
                <w:tcPr>
                  <w:tcW w:w="867" w:type="pct"/>
                </w:tcPr>
                <w:p w14:paraId="782F573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163 (1)</w:t>
                  </w:r>
                </w:p>
              </w:tc>
              <w:tc>
                <w:tcPr>
                  <w:tcW w:w="762" w:type="pct"/>
                  <w:gridSpan w:val="2"/>
                </w:tcPr>
                <w:p w14:paraId="4B32FDE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 (0)</w:t>
                  </w:r>
                </w:p>
              </w:tc>
              <w:tc>
                <w:tcPr>
                  <w:tcW w:w="125" w:type="pct"/>
                  <w:gridSpan w:val="2"/>
                </w:tcPr>
                <w:p w14:paraId="7E44589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F08985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2616 (1)</w:t>
                  </w:r>
                </w:p>
              </w:tc>
              <w:tc>
                <w:tcPr>
                  <w:tcW w:w="951" w:type="pct"/>
                </w:tcPr>
                <w:p w14:paraId="27C90DA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24 (2)</w:t>
                  </w:r>
                </w:p>
              </w:tc>
            </w:tr>
            <w:tr w:rsidR="000249E3" w:rsidRPr="000249E3" w14:paraId="788CEC30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7D70277F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Healthy weight</w:t>
                  </w:r>
                </w:p>
              </w:tc>
              <w:tc>
                <w:tcPr>
                  <w:tcW w:w="867" w:type="pct"/>
                </w:tcPr>
                <w:p w14:paraId="52A82F8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4588 (18)</w:t>
                  </w:r>
                </w:p>
              </w:tc>
              <w:tc>
                <w:tcPr>
                  <w:tcW w:w="762" w:type="pct"/>
                  <w:gridSpan w:val="2"/>
                </w:tcPr>
                <w:p w14:paraId="1933C8E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23 (12)</w:t>
                  </w:r>
                </w:p>
              </w:tc>
              <w:tc>
                <w:tcPr>
                  <w:tcW w:w="125" w:type="pct"/>
                  <w:gridSpan w:val="2"/>
                </w:tcPr>
                <w:p w14:paraId="72ADFEC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81339F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55413 (29)</w:t>
                  </w:r>
                </w:p>
              </w:tc>
              <w:tc>
                <w:tcPr>
                  <w:tcW w:w="951" w:type="pct"/>
                </w:tcPr>
                <w:p w14:paraId="34A351F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256 (25)</w:t>
                  </w:r>
                </w:p>
              </w:tc>
            </w:tr>
            <w:tr w:rsidR="000249E3" w:rsidRPr="000249E3" w14:paraId="6EEF9F6C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514DDDC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Overweight</w:t>
                  </w:r>
                </w:p>
              </w:tc>
              <w:tc>
                <w:tcPr>
                  <w:tcW w:w="867" w:type="pct"/>
                </w:tcPr>
                <w:p w14:paraId="334119B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7963 (31)</w:t>
                  </w:r>
                </w:p>
              </w:tc>
              <w:tc>
                <w:tcPr>
                  <w:tcW w:w="762" w:type="pct"/>
                  <w:gridSpan w:val="2"/>
                </w:tcPr>
                <w:p w14:paraId="638565B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 (28)</w:t>
                  </w:r>
                </w:p>
              </w:tc>
              <w:tc>
                <w:tcPr>
                  <w:tcW w:w="125" w:type="pct"/>
                  <w:gridSpan w:val="2"/>
                </w:tcPr>
                <w:p w14:paraId="0F9AFEB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82A439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62134 (32)</w:t>
                  </w:r>
                </w:p>
              </w:tc>
              <w:tc>
                <w:tcPr>
                  <w:tcW w:w="951" w:type="pct"/>
                </w:tcPr>
                <w:p w14:paraId="186ED50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303 (30)</w:t>
                  </w:r>
                </w:p>
              </w:tc>
            </w:tr>
            <w:tr w:rsidR="000249E3" w:rsidRPr="000249E3" w14:paraId="050489BE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79C3D450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Obese</w:t>
                  </w:r>
                </w:p>
              </w:tc>
              <w:tc>
                <w:tcPr>
                  <w:tcW w:w="867" w:type="pct"/>
                </w:tcPr>
                <w:p w14:paraId="68B4F86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12086 (47)</w:t>
                  </w:r>
                </w:p>
              </w:tc>
              <w:tc>
                <w:tcPr>
                  <w:tcW w:w="762" w:type="pct"/>
                  <w:gridSpan w:val="2"/>
                </w:tcPr>
                <w:p w14:paraId="01AB2EB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110 (56)</w:t>
                  </w:r>
                </w:p>
              </w:tc>
              <w:tc>
                <w:tcPr>
                  <w:tcW w:w="125" w:type="pct"/>
                  <w:gridSpan w:val="2"/>
                </w:tcPr>
                <w:p w14:paraId="1F2BD00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ED8D3E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69244 (36)</w:t>
                  </w:r>
                </w:p>
              </w:tc>
              <w:tc>
                <w:tcPr>
                  <w:tcW w:w="951" w:type="pct"/>
                </w:tcPr>
                <w:p w14:paraId="0F45D4E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417 (41)</w:t>
                  </w:r>
                </w:p>
              </w:tc>
            </w:tr>
            <w:tr w:rsidR="000249E3" w:rsidRPr="000249E3" w14:paraId="57CC64C5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1A24F4E0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Unknown</w:t>
                  </w:r>
                </w:p>
              </w:tc>
              <w:tc>
                <w:tcPr>
                  <w:tcW w:w="867" w:type="pct"/>
                </w:tcPr>
                <w:p w14:paraId="16D2E75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1106 (4)</w:t>
                  </w:r>
                </w:p>
              </w:tc>
              <w:tc>
                <w:tcPr>
                  <w:tcW w:w="762" w:type="pct"/>
                  <w:gridSpan w:val="2"/>
                </w:tcPr>
                <w:p w14:paraId="3402477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 (4)</w:t>
                  </w:r>
                </w:p>
              </w:tc>
              <w:tc>
                <w:tcPr>
                  <w:tcW w:w="125" w:type="pct"/>
                  <w:gridSpan w:val="2"/>
                </w:tcPr>
                <w:p w14:paraId="567C0C3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FEDD3C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4069 (2)</w:t>
                  </w:r>
                </w:p>
              </w:tc>
              <w:tc>
                <w:tcPr>
                  <w:tcW w:w="951" w:type="pct"/>
                </w:tcPr>
                <w:p w14:paraId="11E34B4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 (1)</w:t>
                  </w:r>
                </w:p>
              </w:tc>
            </w:tr>
            <w:tr w:rsidR="000249E3" w:rsidRPr="000249E3" w14:paraId="254A2BE2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5742C25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Median (IQR)</w:t>
                  </w:r>
                </w:p>
              </w:tc>
              <w:tc>
                <w:tcPr>
                  <w:tcW w:w="867" w:type="pct"/>
                </w:tcPr>
                <w:p w14:paraId="372574B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30 (26-34)</w:t>
                  </w:r>
                </w:p>
              </w:tc>
              <w:tc>
                <w:tcPr>
                  <w:tcW w:w="762" w:type="pct"/>
                  <w:gridSpan w:val="2"/>
                </w:tcPr>
                <w:p w14:paraId="32FB81C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31 (28-36)</w:t>
                  </w:r>
                </w:p>
              </w:tc>
              <w:tc>
                <w:tcPr>
                  <w:tcW w:w="125" w:type="pct"/>
                  <w:gridSpan w:val="2"/>
                </w:tcPr>
                <w:p w14:paraId="75AE54F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BFF090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 (24-32)</w:t>
                  </w:r>
                </w:p>
              </w:tc>
              <w:tc>
                <w:tcPr>
                  <w:tcW w:w="951" w:type="pct"/>
                </w:tcPr>
                <w:p w14:paraId="420A6ED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29 (24-34)</w:t>
                  </w:r>
                </w:p>
              </w:tc>
            </w:tr>
            <w:tr w:rsidR="000249E3" w:rsidRPr="000249E3" w14:paraId="24B49F1B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29823C6B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Comorbidities</w:t>
                  </w:r>
                </w:p>
              </w:tc>
              <w:tc>
                <w:tcPr>
                  <w:tcW w:w="867" w:type="pct"/>
                </w:tcPr>
                <w:p w14:paraId="04549B0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3CCB4FC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5EC14E8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8EE6FD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2E44E93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5BDF6C67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40488F6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Hypertension</w:t>
                  </w:r>
                </w:p>
              </w:tc>
              <w:tc>
                <w:tcPr>
                  <w:tcW w:w="867" w:type="pct"/>
                </w:tcPr>
                <w:p w14:paraId="3AB2058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2563 (10)</w:t>
                  </w:r>
                </w:p>
              </w:tc>
              <w:tc>
                <w:tcPr>
                  <w:tcW w:w="762" w:type="pct"/>
                  <w:gridSpan w:val="2"/>
                </w:tcPr>
                <w:p w14:paraId="5A8C200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98 (49)</w:t>
                  </w:r>
                </w:p>
              </w:tc>
              <w:tc>
                <w:tcPr>
                  <w:tcW w:w="125" w:type="pct"/>
                  <w:gridSpan w:val="2"/>
                </w:tcPr>
                <w:p w14:paraId="4CB6A28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58544D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25151 (13)</w:t>
                  </w:r>
                </w:p>
              </w:tc>
              <w:tc>
                <w:tcPr>
                  <w:tcW w:w="951" w:type="pct"/>
                </w:tcPr>
                <w:p w14:paraId="34AFEB3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611 (61)</w:t>
                  </w:r>
                </w:p>
              </w:tc>
            </w:tr>
            <w:tr w:rsidR="000249E3" w:rsidRPr="000249E3" w14:paraId="226CD653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254E99F0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Diabetes</w:t>
                  </w:r>
                </w:p>
              </w:tc>
              <w:tc>
                <w:tcPr>
                  <w:tcW w:w="867" w:type="pct"/>
                </w:tcPr>
                <w:p w14:paraId="537462F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2672 (10)</w:t>
                  </w:r>
                </w:p>
              </w:tc>
              <w:tc>
                <w:tcPr>
                  <w:tcW w:w="762" w:type="pct"/>
                  <w:gridSpan w:val="2"/>
                </w:tcPr>
                <w:p w14:paraId="3305118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71 (36)</w:t>
                  </w:r>
                </w:p>
              </w:tc>
              <w:tc>
                <w:tcPr>
                  <w:tcW w:w="125" w:type="pct"/>
                  <w:gridSpan w:val="2"/>
                </w:tcPr>
                <w:p w14:paraId="647DDDD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BB4D96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18493 (10)</w:t>
                  </w:r>
                </w:p>
              </w:tc>
              <w:tc>
                <w:tcPr>
                  <w:tcW w:w="951" w:type="pct"/>
                </w:tcPr>
                <w:p w14:paraId="7405ED4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322 (32)</w:t>
                  </w:r>
                </w:p>
              </w:tc>
            </w:tr>
            <w:tr w:rsidR="000249E3" w:rsidRPr="000249E3" w14:paraId="04024346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4466E8AC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Chronic kidney disease</w:t>
                  </w:r>
                </w:p>
              </w:tc>
              <w:tc>
                <w:tcPr>
                  <w:tcW w:w="867" w:type="pct"/>
                </w:tcPr>
                <w:p w14:paraId="3AF8E30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901 (3)</w:t>
                  </w:r>
                </w:p>
              </w:tc>
              <w:tc>
                <w:tcPr>
                  <w:tcW w:w="762" w:type="pct"/>
                  <w:gridSpan w:val="2"/>
                </w:tcPr>
                <w:p w14:paraId="7929730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 (14)</w:t>
                  </w:r>
                </w:p>
              </w:tc>
              <w:tc>
                <w:tcPr>
                  <w:tcW w:w="125" w:type="pct"/>
                  <w:gridSpan w:val="2"/>
                </w:tcPr>
                <w:p w14:paraId="462DDEC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8C95EF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11056 (6)</w:t>
                  </w:r>
                </w:p>
              </w:tc>
              <w:tc>
                <w:tcPr>
                  <w:tcW w:w="951" w:type="pct"/>
                </w:tcPr>
                <w:p w14:paraId="104D640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273 (27)</w:t>
                  </w:r>
                </w:p>
              </w:tc>
            </w:tr>
            <w:tr w:rsidR="000249E3" w:rsidRPr="000249E3" w14:paraId="1046790E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65DB7DCA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COPD or asthma</w:t>
                  </w:r>
                </w:p>
              </w:tc>
              <w:tc>
                <w:tcPr>
                  <w:tcW w:w="867" w:type="pct"/>
                </w:tcPr>
                <w:p w14:paraId="3075926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2254 (9)</w:t>
                  </w:r>
                </w:p>
              </w:tc>
              <w:tc>
                <w:tcPr>
                  <w:tcW w:w="762" w:type="pct"/>
                  <w:gridSpan w:val="2"/>
                </w:tcPr>
                <w:p w14:paraId="297EB2C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38 (19)</w:t>
                  </w:r>
                </w:p>
              </w:tc>
              <w:tc>
                <w:tcPr>
                  <w:tcW w:w="125" w:type="pct"/>
                  <w:gridSpan w:val="2"/>
                </w:tcPr>
                <w:p w14:paraId="7C9DD7C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E6B084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28058 (15)</w:t>
                  </w:r>
                </w:p>
              </w:tc>
              <w:tc>
                <w:tcPr>
                  <w:tcW w:w="951" w:type="pct"/>
                </w:tcPr>
                <w:p w14:paraId="7B29DE6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300 (30)</w:t>
                  </w:r>
                </w:p>
              </w:tc>
            </w:tr>
            <w:tr w:rsidR="000249E3" w:rsidRPr="000249E3" w14:paraId="30889075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7A9EBAF7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Congestive heart failure</w:t>
                  </w:r>
                </w:p>
              </w:tc>
              <w:tc>
                <w:tcPr>
                  <w:tcW w:w="867" w:type="pct"/>
                </w:tcPr>
                <w:p w14:paraId="36778E5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364 (1)</w:t>
                  </w:r>
                </w:p>
              </w:tc>
              <w:tc>
                <w:tcPr>
                  <w:tcW w:w="762" w:type="pct"/>
                  <w:gridSpan w:val="2"/>
                </w:tcPr>
                <w:p w14:paraId="239D70B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 (11)</w:t>
                  </w:r>
                </w:p>
              </w:tc>
              <w:tc>
                <w:tcPr>
                  <w:tcW w:w="125" w:type="pct"/>
                  <w:gridSpan w:val="2"/>
                </w:tcPr>
                <w:p w14:paraId="69F9B14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B14109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6128 (3)</w:t>
                  </w:r>
                </w:p>
              </w:tc>
              <w:tc>
                <w:tcPr>
                  <w:tcW w:w="951" w:type="pct"/>
                </w:tcPr>
                <w:p w14:paraId="3BCC87F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256 (25)</w:t>
                  </w:r>
                </w:p>
              </w:tc>
            </w:tr>
            <w:tr w:rsidR="000249E3" w:rsidRPr="000249E3" w14:paraId="6474FFEE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021A92CD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 xml:space="preserve">Liver cirrhosis </w:t>
                  </w:r>
                </w:p>
              </w:tc>
              <w:tc>
                <w:tcPr>
                  <w:tcW w:w="867" w:type="pct"/>
                </w:tcPr>
                <w:p w14:paraId="507E821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69 (0)</w:t>
                  </w:r>
                </w:p>
              </w:tc>
              <w:tc>
                <w:tcPr>
                  <w:tcW w:w="762" w:type="pct"/>
                  <w:gridSpan w:val="2"/>
                </w:tcPr>
                <w:p w14:paraId="2051680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 (2)</w:t>
                  </w:r>
                </w:p>
              </w:tc>
              <w:tc>
                <w:tcPr>
                  <w:tcW w:w="125" w:type="pct"/>
                  <w:gridSpan w:val="2"/>
                </w:tcPr>
                <w:p w14:paraId="6E0FA8F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9D19A7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1029 (1)</w:t>
                  </w:r>
                </w:p>
              </w:tc>
              <w:tc>
                <w:tcPr>
                  <w:tcW w:w="951" w:type="pct"/>
                </w:tcPr>
                <w:p w14:paraId="2920A55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38 (4)</w:t>
                  </w:r>
                </w:p>
              </w:tc>
            </w:tr>
            <w:tr w:rsidR="000249E3" w:rsidRPr="000249E3" w14:paraId="52005D23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778B462B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eastAsia="GuardianAgateSans1GR-Regular" w:cstheme="minorHAnsi"/>
                      <w:szCs w:val="20"/>
                    </w:rPr>
                    <w:t>Malignancy</w:t>
                  </w:r>
                </w:p>
              </w:tc>
              <w:tc>
                <w:tcPr>
                  <w:tcW w:w="867" w:type="pct"/>
                </w:tcPr>
                <w:p w14:paraId="350FD15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397 (2)</w:t>
                  </w:r>
                </w:p>
              </w:tc>
              <w:tc>
                <w:tcPr>
                  <w:tcW w:w="762" w:type="pct"/>
                  <w:gridSpan w:val="2"/>
                </w:tcPr>
                <w:p w14:paraId="3ADFAC6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15 (8)</w:t>
                  </w:r>
                </w:p>
              </w:tc>
              <w:tc>
                <w:tcPr>
                  <w:tcW w:w="125" w:type="pct"/>
                  <w:gridSpan w:val="2"/>
                </w:tcPr>
                <w:p w14:paraId="31E6FB6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546CF5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8592 (4)</w:t>
                  </w:r>
                </w:p>
              </w:tc>
              <w:tc>
                <w:tcPr>
                  <w:tcW w:w="951" w:type="pct"/>
                </w:tcPr>
                <w:p w14:paraId="088E312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298 (30)</w:t>
                  </w:r>
                </w:p>
              </w:tc>
            </w:tr>
            <w:tr w:rsidR="000249E3" w:rsidRPr="000249E3" w14:paraId="0D1FBCB3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7301FBDA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-1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Charlson Comorbidity Index</w:t>
                  </w:r>
                </w:p>
              </w:tc>
              <w:tc>
                <w:tcPr>
                  <w:tcW w:w="867" w:type="pct"/>
                </w:tcPr>
                <w:p w14:paraId="2E27C8D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4751AB1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231C6A6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42B4A0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5BC419D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4FC4384C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1596DAF9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0</w:t>
                  </w:r>
                </w:p>
              </w:tc>
              <w:tc>
                <w:tcPr>
                  <w:tcW w:w="867" w:type="pct"/>
                </w:tcPr>
                <w:p w14:paraId="575B41E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18428 (71)</w:t>
                  </w:r>
                </w:p>
              </w:tc>
              <w:tc>
                <w:tcPr>
                  <w:tcW w:w="762" w:type="pct"/>
                  <w:gridSpan w:val="2"/>
                </w:tcPr>
                <w:p w14:paraId="62FCCEC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96 (48)</w:t>
                  </w:r>
                </w:p>
              </w:tc>
              <w:tc>
                <w:tcPr>
                  <w:tcW w:w="125" w:type="pct"/>
                  <w:gridSpan w:val="2"/>
                </w:tcPr>
                <w:p w14:paraId="1796870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4C721B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122256 (63)</w:t>
                  </w:r>
                </w:p>
              </w:tc>
              <w:tc>
                <w:tcPr>
                  <w:tcW w:w="951" w:type="pct"/>
                </w:tcPr>
                <w:p w14:paraId="66651AD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264 (26)</w:t>
                  </w:r>
                </w:p>
              </w:tc>
            </w:tr>
            <w:tr w:rsidR="000249E3" w:rsidRPr="000249E3" w14:paraId="3614902B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35B0954D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1-2</w:t>
                  </w:r>
                </w:p>
              </w:tc>
              <w:tc>
                <w:tcPr>
                  <w:tcW w:w="867" w:type="pct"/>
                </w:tcPr>
                <w:p w14:paraId="525C6EB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5698 (22)</w:t>
                  </w:r>
                </w:p>
              </w:tc>
              <w:tc>
                <w:tcPr>
                  <w:tcW w:w="762" w:type="pct"/>
                  <w:gridSpan w:val="2"/>
                </w:tcPr>
                <w:p w14:paraId="3F0FF76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66 (33)</w:t>
                  </w:r>
                </w:p>
              </w:tc>
              <w:tc>
                <w:tcPr>
                  <w:tcW w:w="125" w:type="pct"/>
                  <w:gridSpan w:val="2"/>
                </w:tcPr>
                <w:p w14:paraId="62925E7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43DE7D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48548 (25)</w:t>
                  </w:r>
                </w:p>
              </w:tc>
              <w:tc>
                <w:tcPr>
                  <w:tcW w:w="951" w:type="pct"/>
                </w:tcPr>
                <w:p w14:paraId="75F43EA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271 (27)</w:t>
                  </w:r>
                </w:p>
              </w:tc>
            </w:tr>
            <w:tr w:rsidR="000249E3" w:rsidRPr="000249E3" w14:paraId="2CD17DC5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DEB931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3-4</w:t>
                  </w:r>
                </w:p>
              </w:tc>
              <w:tc>
                <w:tcPr>
                  <w:tcW w:w="867" w:type="pct"/>
                </w:tcPr>
                <w:p w14:paraId="6175DE0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986 (4)</w:t>
                  </w:r>
                </w:p>
              </w:tc>
              <w:tc>
                <w:tcPr>
                  <w:tcW w:w="762" w:type="pct"/>
                  <w:gridSpan w:val="2"/>
                </w:tcPr>
                <w:p w14:paraId="01D366C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16 (8)</w:t>
                  </w:r>
                </w:p>
              </w:tc>
              <w:tc>
                <w:tcPr>
                  <w:tcW w:w="125" w:type="pct"/>
                  <w:gridSpan w:val="2"/>
                </w:tcPr>
                <w:p w14:paraId="261A5E3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C9C7AB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11429 (6)</w:t>
                  </w:r>
                </w:p>
              </w:tc>
              <w:tc>
                <w:tcPr>
                  <w:tcW w:w="951" w:type="pct"/>
                </w:tcPr>
                <w:p w14:paraId="7A1C5AB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193 (19)</w:t>
                  </w:r>
                </w:p>
              </w:tc>
            </w:tr>
            <w:tr w:rsidR="000249E3" w:rsidRPr="000249E3" w14:paraId="6C9264D9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BD2AD2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5+</w:t>
                  </w:r>
                </w:p>
              </w:tc>
              <w:tc>
                <w:tcPr>
                  <w:tcW w:w="867" w:type="pct"/>
                </w:tcPr>
                <w:p w14:paraId="5C48BE8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794 (3)</w:t>
                  </w:r>
                </w:p>
              </w:tc>
              <w:tc>
                <w:tcPr>
                  <w:tcW w:w="762" w:type="pct"/>
                  <w:gridSpan w:val="2"/>
                </w:tcPr>
                <w:p w14:paraId="6DC21E7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20 (10)</w:t>
                  </w:r>
                </w:p>
              </w:tc>
              <w:tc>
                <w:tcPr>
                  <w:tcW w:w="125" w:type="pct"/>
                  <w:gridSpan w:val="2"/>
                </w:tcPr>
                <w:p w14:paraId="4B181B9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76E65D3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11243 (6)</w:t>
                  </w:r>
                </w:p>
              </w:tc>
              <w:tc>
                <w:tcPr>
                  <w:tcW w:w="951" w:type="pct"/>
                </w:tcPr>
                <w:p w14:paraId="7E931B7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280 (28)</w:t>
                  </w:r>
                </w:p>
              </w:tc>
            </w:tr>
            <w:tr w:rsidR="000249E3" w:rsidRPr="000249E3" w14:paraId="5923DADD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733BBF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Median (IQR)</w:t>
                  </w:r>
                </w:p>
              </w:tc>
              <w:tc>
                <w:tcPr>
                  <w:tcW w:w="867" w:type="pct"/>
                </w:tcPr>
                <w:p w14:paraId="26BEB23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0 (0-1)</w:t>
                  </w:r>
                </w:p>
              </w:tc>
              <w:tc>
                <w:tcPr>
                  <w:tcW w:w="762" w:type="pct"/>
                  <w:gridSpan w:val="2"/>
                </w:tcPr>
                <w:p w14:paraId="7CC6FC3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 (0-2)</w:t>
                  </w:r>
                </w:p>
              </w:tc>
              <w:tc>
                <w:tcPr>
                  <w:tcW w:w="125" w:type="pct"/>
                  <w:gridSpan w:val="2"/>
                </w:tcPr>
                <w:p w14:paraId="78C75BF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321032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0 (0-1)</w:t>
                  </w:r>
                </w:p>
              </w:tc>
              <w:tc>
                <w:tcPr>
                  <w:tcW w:w="951" w:type="pct"/>
                </w:tcPr>
                <w:p w14:paraId="7482CDF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 (0-5)</w:t>
                  </w:r>
                </w:p>
              </w:tc>
            </w:tr>
            <w:tr w:rsidR="000249E3" w:rsidRPr="000249E3" w14:paraId="758A1D56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F90263A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 w:hanging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Smoking status</w:t>
                  </w:r>
                </w:p>
              </w:tc>
              <w:tc>
                <w:tcPr>
                  <w:tcW w:w="867" w:type="pct"/>
                </w:tcPr>
                <w:p w14:paraId="6817660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64B1BDA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11C6C3A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14DD3A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71BCDD7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0EDEECF9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E94621B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Ever</w:t>
                  </w:r>
                </w:p>
              </w:tc>
              <w:tc>
                <w:tcPr>
                  <w:tcW w:w="867" w:type="pct"/>
                </w:tcPr>
                <w:p w14:paraId="2D84750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6597 (25)</w:t>
                  </w:r>
                </w:p>
              </w:tc>
              <w:tc>
                <w:tcPr>
                  <w:tcW w:w="762" w:type="pct"/>
                  <w:gridSpan w:val="2"/>
                </w:tcPr>
                <w:p w14:paraId="4D89A75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58 (29)</w:t>
                  </w:r>
                </w:p>
              </w:tc>
              <w:tc>
                <w:tcPr>
                  <w:tcW w:w="125" w:type="pct"/>
                  <w:gridSpan w:val="2"/>
                </w:tcPr>
                <w:p w14:paraId="34E597B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6FAED0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66075 (34)</w:t>
                  </w:r>
                </w:p>
              </w:tc>
              <w:tc>
                <w:tcPr>
                  <w:tcW w:w="951" w:type="pct"/>
                </w:tcPr>
                <w:p w14:paraId="4364D8D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491 (49)</w:t>
                  </w:r>
                </w:p>
              </w:tc>
            </w:tr>
            <w:tr w:rsidR="000249E3" w:rsidRPr="000249E3" w14:paraId="03900A5D" w14:textId="77777777" w:rsidTr="00BB1E7A">
              <w:trPr>
                <w:trHeight w:val="239"/>
              </w:trPr>
              <w:tc>
                <w:tcPr>
                  <w:tcW w:w="1516" w:type="pct"/>
                  <w:gridSpan w:val="2"/>
                </w:tcPr>
                <w:p w14:paraId="1935C987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Never</w:t>
                  </w:r>
                </w:p>
              </w:tc>
              <w:tc>
                <w:tcPr>
                  <w:tcW w:w="867" w:type="pct"/>
                </w:tcPr>
                <w:p w14:paraId="3F80F4F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18367 (71)</w:t>
                  </w:r>
                </w:p>
              </w:tc>
              <w:tc>
                <w:tcPr>
                  <w:tcW w:w="762" w:type="pct"/>
                  <w:gridSpan w:val="2"/>
                </w:tcPr>
                <w:p w14:paraId="5141A48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131 (66)</w:t>
                  </w:r>
                </w:p>
              </w:tc>
              <w:tc>
                <w:tcPr>
                  <w:tcW w:w="125" w:type="pct"/>
                  <w:gridSpan w:val="2"/>
                </w:tcPr>
                <w:p w14:paraId="5E51CD3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33AD90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124209 (64)</w:t>
                  </w:r>
                </w:p>
              </w:tc>
              <w:tc>
                <w:tcPr>
                  <w:tcW w:w="951" w:type="pct"/>
                </w:tcPr>
                <w:p w14:paraId="03A59D4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510 (51)</w:t>
                  </w:r>
                </w:p>
              </w:tc>
            </w:tr>
            <w:tr w:rsidR="000249E3" w:rsidRPr="000249E3" w14:paraId="418211B9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7EA3A29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Unknown</w:t>
                  </w:r>
                </w:p>
              </w:tc>
              <w:tc>
                <w:tcPr>
                  <w:tcW w:w="867" w:type="pct"/>
                </w:tcPr>
                <w:p w14:paraId="7FC6242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942 (4)</w:t>
                  </w:r>
                </w:p>
              </w:tc>
              <w:tc>
                <w:tcPr>
                  <w:tcW w:w="762" w:type="pct"/>
                  <w:gridSpan w:val="2"/>
                </w:tcPr>
                <w:p w14:paraId="6F66606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 (5)</w:t>
                  </w:r>
                </w:p>
              </w:tc>
              <w:tc>
                <w:tcPr>
                  <w:tcW w:w="125" w:type="pct"/>
                  <w:gridSpan w:val="2"/>
                </w:tcPr>
                <w:p w14:paraId="458E61D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24CFF2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3192 (2)</w:t>
                  </w:r>
                </w:p>
              </w:tc>
              <w:tc>
                <w:tcPr>
                  <w:tcW w:w="951" w:type="pct"/>
                </w:tcPr>
                <w:p w14:paraId="5EE63B6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 (1)</w:t>
                  </w:r>
                </w:p>
              </w:tc>
            </w:tr>
            <w:tr w:rsidR="000249E3" w:rsidRPr="000249E3" w14:paraId="256F9E6D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35EECA3D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lastRenderedPageBreak/>
                    <w:t>Test month</w:t>
                  </w:r>
                </w:p>
              </w:tc>
              <w:tc>
                <w:tcPr>
                  <w:tcW w:w="867" w:type="pct"/>
                </w:tcPr>
                <w:p w14:paraId="24D14C7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0C6E736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044EF76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47656A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2AE81B6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7BA6D442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61D7FEF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February-April</w:t>
                  </w:r>
                </w:p>
              </w:tc>
              <w:tc>
                <w:tcPr>
                  <w:tcW w:w="867" w:type="pct"/>
                </w:tcPr>
                <w:p w14:paraId="74C1C07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2068 (8)</w:t>
                  </w:r>
                </w:p>
              </w:tc>
              <w:tc>
                <w:tcPr>
                  <w:tcW w:w="762" w:type="pct"/>
                  <w:gridSpan w:val="2"/>
                </w:tcPr>
                <w:p w14:paraId="4801DB3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46 (23)</w:t>
                  </w:r>
                </w:p>
              </w:tc>
              <w:tc>
                <w:tcPr>
                  <w:tcW w:w="125" w:type="pct"/>
                  <w:gridSpan w:val="2"/>
                </w:tcPr>
                <w:p w14:paraId="0A42BCB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D4FABF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28428 (15)</w:t>
                  </w:r>
                </w:p>
              </w:tc>
              <w:tc>
                <w:tcPr>
                  <w:tcW w:w="951" w:type="pct"/>
                </w:tcPr>
                <w:p w14:paraId="34855F5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201 (20)</w:t>
                  </w:r>
                </w:p>
              </w:tc>
            </w:tr>
            <w:tr w:rsidR="000249E3" w:rsidRPr="000249E3" w14:paraId="5E3828B0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A29D16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May</w:t>
                  </w:r>
                </w:p>
              </w:tc>
              <w:tc>
                <w:tcPr>
                  <w:tcW w:w="867" w:type="pct"/>
                </w:tcPr>
                <w:p w14:paraId="415325C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979 (4)</w:t>
                  </w:r>
                </w:p>
              </w:tc>
              <w:tc>
                <w:tcPr>
                  <w:tcW w:w="762" w:type="pct"/>
                  <w:gridSpan w:val="2"/>
                </w:tcPr>
                <w:p w14:paraId="2DDCF01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 (5)</w:t>
                  </w:r>
                </w:p>
              </w:tc>
              <w:tc>
                <w:tcPr>
                  <w:tcW w:w="125" w:type="pct"/>
                  <w:gridSpan w:val="2"/>
                </w:tcPr>
                <w:p w14:paraId="0FF3E0C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A01EE4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32579 (17)</w:t>
                  </w:r>
                </w:p>
              </w:tc>
              <w:tc>
                <w:tcPr>
                  <w:tcW w:w="951" w:type="pct"/>
                </w:tcPr>
                <w:p w14:paraId="571F136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235 (23)</w:t>
                  </w:r>
                </w:p>
              </w:tc>
            </w:tr>
            <w:tr w:rsidR="000249E3" w:rsidRPr="000249E3" w14:paraId="01414797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2B7DD2B6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June</w:t>
                  </w:r>
                </w:p>
              </w:tc>
              <w:tc>
                <w:tcPr>
                  <w:tcW w:w="867" w:type="pct"/>
                </w:tcPr>
                <w:p w14:paraId="150963B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3354 (13)</w:t>
                  </w:r>
                </w:p>
              </w:tc>
              <w:tc>
                <w:tcPr>
                  <w:tcW w:w="762" w:type="pct"/>
                  <w:gridSpan w:val="2"/>
                </w:tcPr>
                <w:p w14:paraId="2444186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25 (13)</w:t>
                  </w:r>
                </w:p>
              </w:tc>
              <w:tc>
                <w:tcPr>
                  <w:tcW w:w="125" w:type="pct"/>
                  <w:gridSpan w:val="2"/>
                </w:tcPr>
                <w:p w14:paraId="63694A4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954B48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28577 (15)</w:t>
                  </w:r>
                </w:p>
              </w:tc>
              <w:tc>
                <w:tcPr>
                  <w:tcW w:w="951" w:type="pct"/>
                </w:tcPr>
                <w:p w14:paraId="219F8F1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165 (16)</w:t>
                  </w:r>
                </w:p>
              </w:tc>
            </w:tr>
            <w:tr w:rsidR="000249E3" w:rsidRPr="000249E3" w14:paraId="7ECA0938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064245A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July</w:t>
                  </w:r>
                </w:p>
              </w:tc>
              <w:tc>
                <w:tcPr>
                  <w:tcW w:w="867" w:type="pct"/>
                </w:tcPr>
                <w:p w14:paraId="5CD368E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12185 (47)</w:t>
                  </w:r>
                </w:p>
              </w:tc>
              <w:tc>
                <w:tcPr>
                  <w:tcW w:w="762" w:type="pct"/>
                  <w:gridSpan w:val="2"/>
                </w:tcPr>
                <w:p w14:paraId="356BA9C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70 (35)</w:t>
                  </w:r>
                </w:p>
              </w:tc>
              <w:tc>
                <w:tcPr>
                  <w:tcW w:w="125" w:type="pct"/>
                  <w:gridSpan w:val="2"/>
                </w:tcPr>
                <w:p w14:paraId="7E5C0A0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BFABD1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61153 (32)</w:t>
                  </w:r>
                </w:p>
              </w:tc>
              <w:tc>
                <w:tcPr>
                  <w:tcW w:w="951" w:type="pct"/>
                </w:tcPr>
                <w:p w14:paraId="4D34D48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217 (22)</w:t>
                  </w:r>
                </w:p>
              </w:tc>
            </w:tr>
            <w:tr w:rsidR="000249E3" w:rsidRPr="000249E3" w14:paraId="41CC0BEC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27D0A2CE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 xml:space="preserve">August </w:t>
                  </w:r>
                </w:p>
              </w:tc>
              <w:tc>
                <w:tcPr>
                  <w:tcW w:w="867" w:type="pct"/>
                </w:tcPr>
                <w:p w14:paraId="0A027D4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7320 (28)</w:t>
                  </w:r>
                </w:p>
              </w:tc>
              <w:tc>
                <w:tcPr>
                  <w:tcW w:w="762" w:type="pct"/>
                  <w:gridSpan w:val="2"/>
                </w:tcPr>
                <w:p w14:paraId="1C8BAD8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48 (24)</w:t>
                  </w:r>
                </w:p>
              </w:tc>
              <w:tc>
                <w:tcPr>
                  <w:tcW w:w="125" w:type="pct"/>
                  <w:gridSpan w:val="2"/>
                </w:tcPr>
                <w:p w14:paraId="358C22F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C26A6F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42739 (22)</w:t>
                  </w:r>
                </w:p>
              </w:tc>
              <w:tc>
                <w:tcPr>
                  <w:tcW w:w="951" w:type="pct"/>
                </w:tcPr>
                <w:p w14:paraId="51E10D6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190 (19)</w:t>
                  </w:r>
                </w:p>
              </w:tc>
            </w:tr>
            <w:tr w:rsidR="000249E3" w:rsidRPr="000249E3" w14:paraId="3A44DDE7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BF23EF7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Lab test setting</w:t>
                  </w:r>
                </w:p>
              </w:tc>
              <w:tc>
                <w:tcPr>
                  <w:tcW w:w="867" w:type="pct"/>
                </w:tcPr>
                <w:p w14:paraId="2766689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1EC7410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5D173B2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F463B0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2453B49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22B637AC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7F01ABD9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Outpatient</w:t>
                  </w:r>
                </w:p>
              </w:tc>
              <w:tc>
                <w:tcPr>
                  <w:tcW w:w="867" w:type="pct"/>
                </w:tcPr>
                <w:p w14:paraId="7E2AA83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22209 (86)</w:t>
                  </w:r>
                </w:p>
              </w:tc>
              <w:tc>
                <w:tcPr>
                  <w:tcW w:w="762" w:type="pct"/>
                  <w:gridSpan w:val="2"/>
                </w:tcPr>
                <w:p w14:paraId="4584B7C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95 (48)</w:t>
                  </w:r>
                </w:p>
              </w:tc>
              <w:tc>
                <w:tcPr>
                  <w:tcW w:w="125" w:type="pct"/>
                  <w:gridSpan w:val="2"/>
                </w:tcPr>
                <w:p w14:paraId="0F8B06C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38F4CE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168780 (87)</w:t>
                  </w:r>
                </w:p>
              </w:tc>
              <w:tc>
                <w:tcPr>
                  <w:tcW w:w="951" w:type="pct"/>
                </w:tcPr>
                <w:p w14:paraId="0B85AFC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190 (19)</w:t>
                  </w:r>
                </w:p>
              </w:tc>
            </w:tr>
            <w:tr w:rsidR="000249E3" w:rsidRPr="000249E3" w14:paraId="0CC11E4B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4382800D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Emergency department</w:t>
                  </w:r>
                </w:p>
              </w:tc>
              <w:tc>
                <w:tcPr>
                  <w:tcW w:w="867" w:type="pct"/>
                </w:tcPr>
                <w:p w14:paraId="00773FE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2420 (9)</w:t>
                  </w:r>
                </w:p>
              </w:tc>
              <w:tc>
                <w:tcPr>
                  <w:tcW w:w="762" w:type="pct"/>
                  <w:gridSpan w:val="2"/>
                </w:tcPr>
                <w:p w14:paraId="79DB37D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 (11)</w:t>
                  </w:r>
                </w:p>
              </w:tc>
              <w:tc>
                <w:tcPr>
                  <w:tcW w:w="125" w:type="pct"/>
                  <w:gridSpan w:val="2"/>
                </w:tcPr>
                <w:p w14:paraId="69FA126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9A153A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12997 (7)</w:t>
                  </w:r>
                </w:p>
              </w:tc>
              <w:tc>
                <w:tcPr>
                  <w:tcW w:w="951" w:type="pct"/>
                </w:tcPr>
                <w:p w14:paraId="7D143EF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107 (11)</w:t>
                  </w:r>
                </w:p>
              </w:tc>
            </w:tr>
            <w:tr w:rsidR="000249E3" w:rsidRPr="000249E3" w14:paraId="1A6AC331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67B3E78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 xml:space="preserve">Inpatient </w:t>
                  </w:r>
                </w:p>
              </w:tc>
              <w:tc>
                <w:tcPr>
                  <w:tcW w:w="867" w:type="pct"/>
                </w:tcPr>
                <w:p w14:paraId="7BC52BE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1277 (5)</w:t>
                  </w:r>
                </w:p>
              </w:tc>
              <w:tc>
                <w:tcPr>
                  <w:tcW w:w="762" w:type="pct"/>
                  <w:gridSpan w:val="2"/>
                </w:tcPr>
                <w:p w14:paraId="563260A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81 (41)</w:t>
                  </w:r>
                </w:p>
              </w:tc>
              <w:tc>
                <w:tcPr>
                  <w:tcW w:w="125" w:type="pct"/>
                  <w:gridSpan w:val="2"/>
                </w:tcPr>
                <w:p w14:paraId="65B222B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7DEA5D4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11699 (6)</w:t>
                  </w:r>
                </w:p>
              </w:tc>
              <w:tc>
                <w:tcPr>
                  <w:tcW w:w="951" w:type="pct"/>
                </w:tcPr>
                <w:p w14:paraId="23088F3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711 (71)</w:t>
                  </w:r>
                </w:p>
              </w:tc>
            </w:tr>
            <w:tr w:rsidR="000249E3" w:rsidRPr="000249E3" w14:paraId="37CE65E8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CCEE79A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Highest level of care during follow-up</w:t>
                  </w:r>
                </w:p>
              </w:tc>
              <w:tc>
                <w:tcPr>
                  <w:tcW w:w="867" w:type="pct"/>
                </w:tcPr>
                <w:p w14:paraId="7897A64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62" w:type="pct"/>
                  <w:gridSpan w:val="2"/>
                </w:tcPr>
                <w:p w14:paraId="6CD2FFD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125" w:type="pct"/>
                  <w:gridSpan w:val="2"/>
                </w:tcPr>
                <w:p w14:paraId="75AE5D6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D4156F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14:paraId="0EB1030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0249E3" w:rsidRPr="000249E3" w14:paraId="6872802C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42855DE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Outpatient/emergency department</w:t>
                  </w:r>
                </w:p>
              </w:tc>
              <w:tc>
                <w:tcPr>
                  <w:tcW w:w="867" w:type="pct"/>
                </w:tcPr>
                <w:p w14:paraId="1A72DE4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23092 (89)</w:t>
                  </w:r>
                </w:p>
              </w:tc>
              <w:tc>
                <w:tcPr>
                  <w:tcW w:w="762" w:type="pct"/>
                  <w:gridSpan w:val="2"/>
                </w:tcPr>
                <w:p w14:paraId="43C6C96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28 (14)</w:t>
                  </w:r>
                </w:p>
              </w:tc>
              <w:tc>
                <w:tcPr>
                  <w:tcW w:w="125" w:type="pct"/>
                  <w:gridSpan w:val="2"/>
                </w:tcPr>
                <w:p w14:paraId="3C28317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6CFE173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172713 (89)</w:t>
                  </w:r>
                </w:p>
              </w:tc>
              <w:tc>
                <w:tcPr>
                  <w:tcW w:w="951" w:type="pct"/>
                </w:tcPr>
                <w:p w14:paraId="6ACD7E4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114 (11)</w:t>
                  </w:r>
                </w:p>
              </w:tc>
            </w:tr>
            <w:tr w:rsidR="000249E3" w:rsidRPr="000249E3" w14:paraId="55BD41B7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</w:tcPr>
                <w:p w14:paraId="0BAC071B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Inpatient</w:t>
                  </w:r>
                </w:p>
              </w:tc>
              <w:tc>
                <w:tcPr>
                  <w:tcW w:w="867" w:type="pct"/>
                </w:tcPr>
                <w:p w14:paraId="6199589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2252 (9)</w:t>
                  </w:r>
                </w:p>
              </w:tc>
              <w:tc>
                <w:tcPr>
                  <w:tcW w:w="762" w:type="pct"/>
                  <w:gridSpan w:val="2"/>
                </w:tcPr>
                <w:p w14:paraId="52E8AB7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82 (41)</w:t>
                  </w:r>
                </w:p>
              </w:tc>
              <w:tc>
                <w:tcPr>
                  <w:tcW w:w="125" w:type="pct"/>
                  <w:gridSpan w:val="2"/>
                </w:tcPr>
                <w:p w14:paraId="4307C64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C4F8DC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18479 (10)</w:t>
                  </w:r>
                </w:p>
              </w:tc>
              <w:tc>
                <w:tcPr>
                  <w:tcW w:w="951" w:type="pct"/>
                </w:tcPr>
                <w:p w14:paraId="32FE02C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645 (64)</w:t>
                  </w:r>
                </w:p>
              </w:tc>
            </w:tr>
            <w:tr w:rsidR="000249E3" w:rsidRPr="000249E3" w14:paraId="4D1ACE03" w14:textId="77777777" w:rsidTr="00BB1E7A">
              <w:trPr>
                <w:trHeight w:val="254"/>
              </w:trPr>
              <w:tc>
                <w:tcPr>
                  <w:tcW w:w="1516" w:type="pct"/>
                  <w:gridSpan w:val="2"/>
                  <w:tcBorders>
                    <w:bottom w:val="single" w:sz="4" w:space="0" w:color="auto"/>
                  </w:tcBorders>
                </w:tcPr>
                <w:p w14:paraId="588EF6E0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65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Intensive care unit</w:t>
                  </w:r>
                </w:p>
              </w:tc>
              <w:tc>
                <w:tcPr>
                  <w:tcW w:w="867" w:type="pct"/>
                  <w:tcBorders>
                    <w:bottom w:val="single" w:sz="4" w:space="0" w:color="auto"/>
                  </w:tcBorders>
                </w:tcPr>
                <w:p w14:paraId="7FA1D0B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562 (2)</w:t>
                  </w:r>
                </w:p>
              </w:tc>
              <w:tc>
                <w:tcPr>
                  <w:tcW w:w="762" w:type="pct"/>
                  <w:gridSpan w:val="2"/>
                  <w:tcBorders>
                    <w:bottom w:val="single" w:sz="4" w:space="0" w:color="auto"/>
                  </w:tcBorders>
                </w:tcPr>
                <w:p w14:paraId="7DD087B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88 (44)</w:t>
                  </w:r>
                </w:p>
              </w:tc>
              <w:tc>
                <w:tcPr>
                  <w:tcW w:w="125" w:type="pct"/>
                  <w:gridSpan w:val="2"/>
                  <w:tcBorders>
                    <w:bottom w:val="single" w:sz="4" w:space="0" w:color="auto"/>
                  </w:tcBorders>
                </w:tcPr>
                <w:p w14:paraId="43F3814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bottom w:val="single" w:sz="4" w:space="0" w:color="auto"/>
                  </w:tcBorders>
                </w:tcPr>
                <w:p w14:paraId="6FB335C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2284 (1)</w:t>
                  </w:r>
                </w:p>
              </w:tc>
              <w:tc>
                <w:tcPr>
                  <w:tcW w:w="951" w:type="pct"/>
                  <w:tcBorders>
                    <w:bottom w:val="single" w:sz="4" w:space="0" w:color="auto"/>
                  </w:tcBorders>
                </w:tcPr>
                <w:p w14:paraId="49228A2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cstheme="minorHAnsi"/>
                      <w:szCs w:val="20"/>
                    </w:rPr>
                  </w:pPr>
                  <w:r w:rsidRPr="000249E3">
                    <w:rPr>
                      <w:rFonts w:cstheme="minorHAnsi"/>
                      <w:szCs w:val="20"/>
                    </w:rPr>
                    <w:t>249 (25)</w:t>
                  </w:r>
                </w:p>
              </w:tc>
            </w:tr>
          </w:tbl>
          <w:p w14:paraId="185E2CBF" w14:textId="77777777" w:rsidR="000249E3" w:rsidRPr="000249E3" w:rsidRDefault="000249E3" w:rsidP="000249E3">
            <w:pPr>
              <w:autoSpaceDE w:val="0"/>
              <w:autoSpaceDN w:val="0"/>
              <w:adjustRightInd w:val="0"/>
              <w:rPr>
                <w:rFonts w:eastAsia="GuardianTextEgypGR-Regular" w:cstheme="minorHAnsi"/>
                <w:color w:val="000000"/>
                <w:sz w:val="24"/>
              </w:rPr>
            </w:pPr>
          </w:p>
          <w:p w14:paraId="6FE76530" w14:textId="77777777" w:rsidR="000249E3" w:rsidRPr="000249E3" w:rsidRDefault="000249E3" w:rsidP="000249E3">
            <w:pPr>
              <w:rPr>
                <w:rFonts w:eastAsia="GuardianTextEgypGR-Regular" w:cstheme="minorHAnsi"/>
                <w:color w:val="000000"/>
                <w:sz w:val="24"/>
              </w:rPr>
            </w:pPr>
            <w:r w:rsidRPr="000249E3">
              <w:rPr>
                <w:rFonts w:eastAsia="GuardianTextEgypGR-Regular" w:cstheme="minorHAnsi"/>
                <w:color w:val="000000"/>
                <w:szCs w:val="20"/>
              </w:rPr>
              <w:t>VTE=venous thromboembolism; IQR=Interquartile range; COPD=chronic obstructive pulmonary disease</w:t>
            </w:r>
            <w:r w:rsidRPr="000249E3">
              <w:rPr>
                <w:rFonts w:eastAsia="GuardianTextEgypGR-Regular" w:cstheme="minorHAnsi"/>
                <w:color w:val="000000"/>
                <w:sz w:val="24"/>
              </w:rPr>
              <w:br w:type="page"/>
            </w:r>
          </w:p>
          <w:p w14:paraId="1B21DF6C" w14:textId="24652C23" w:rsidR="000249E3" w:rsidRPr="000249E3" w:rsidRDefault="000249E3" w:rsidP="000249E3">
            <w:pPr>
              <w:rPr>
                <w:rFonts w:eastAsia="GuardianTextEgypGR-Regular" w:cstheme="minorHAnsi"/>
                <w:color w:val="000000"/>
                <w:sz w:val="24"/>
              </w:rPr>
            </w:pPr>
            <w:bookmarkStart w:id="4" w:name="_Hlk60909627"/>
          </w:p>
          <w:p w14:paraId="585B11A1" w14:textId="506D5A77" w:rsidR="000249E3" w:rsidRPr="000249E3" w:rsidRDefault="000249E3" w:rsidP="000249E3">
            <w:pPr>
              <w:rPr>
                <w:rFonts w:eastAsia="GuardianTextEgypGR-Regular" w:cstheme="minorHAnsi"/>
                <w:color w:val="000000"/>
                <w:sz w:val="24"/>
              </w:rPr>
            </w:pPr>
          </w:p>
          <w:p w14:paraId="0E34693D" w14:textId="0BB6131E" w:rsidR="000249E3" w:rsidRPr="000249E3" w:rsidRDefault="000249E3" w:rsidP="000249E3">
            <w:pPr>
              <w:rPr>
                <w:rFonts w:eastAsia="GuardianTextEgypGR-Regular" w:cstheme="minorHAnsi"/>
                <w:color w:val="000000"/>
                <w:sz w:val="24"/>
              </w:rPr>
            </w:pPr>
          </w:p>
          <w:p w14:paraId="63082416" w14:textId="77777777" w:rsidR="000249E3" w:rsidRPr="000249E3" w:rsidRDefault="000249E3" w:rsidP="000249E3">
            <w:pPr>
              <w:rPr>
                <w:rFonts w:eastAsia="GuardianTextEgypGR-Regular" w:cstheme="minorHAnsi"/>
                <w:color w:val="000000"/>
                <w:sz w:val="24"/>
              </w:rPr>
            </w:pPr>
          </w:p>
          <w:tbl>
            <w:tblPr>
              <w:tblStyle w:val="TableGrid"/>
              <w:tblW w:w="9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"/>
              <w:gridCol w:w="362"/>
              <w:gridCol w:w="1498"/>
              <w:gridCol w:w="6"/>
              <w:gridCol w:w="1699"/>
              <w:gridCol w:w="1394"/>
              <w:gridCol w:w="852"/>
              <w:gridCol w:w="2322"/>
              <w:gridCol w:w="965"/>
            </w:tblGrid>
            <w:tr w:rsidR="000249E3" w:rsidRPr="000249E3" w14:paraId="4641503C" w14:textId="77777777" w:rsidTr="000249E3">
              <w:trPr>
                <w:trHeight w:val="357"/>
              </w:trPr>
              <w:tc>
                <w:tcPr>
                  <w:tcW w:w="9175" w:type="dxa"/>
                  <w:gridSpan w:val="9"/>
                </w:tcPr>
                <w:p w14:paraId="7D84E4CF" w14:textId="7D1C7ADF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 xml:space="preserve">30-day VTE incidence and time to anticoagulation by diagnosis location and SARS-CoV-2 status </w:t>
                  </w:r>
                </w:p>
                <w:p w14:paraId="6E4ACA5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N=220,588</w:t>
                  </w:r>
                </w:p>
              </w:tc>
            </w:tr>
            <w:tr w:rsidR="000249E3" w:rsidRPr="000249E3" w14:paraId="1394541C" w14:textId="77777777" w:rsidTr="000249E3">
              <w:trPr>
                <w:gridBefore w:val="1"/>
                <w:wBefore w:w="77" w:type="dxa"/>
                <w:trHeight w:val="357"/>
              </w:trPr>
              <w:tc>
                <w:tcPr>
                  <w:tcW w:w="1866" w:type="dxa"/>
                  <w:gridSpan w:val="3"/>
                  <w:tcBorders>
                    <w:top w:val="single" w:sz="4" w:space="0" w:color="auto"/>
                  </w:tcBorders>
                </w:tcPr>
                <w:p w14:paraId="52AFE589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39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5AD8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Incidence of VTE, N (per 1,000 subjects)</w:t>
                  </w:r>
                </w:p>
              </w:tc>
              <w:tc>
                <w:tcPr>
                  <w:tcW w:w="32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DE2DE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Days from SARS-CoV-2 testing to anticoagulation initiation, Median (IQR)</w:t>
                  </w:r>
                </w:p>
              </w:tc>
            </w:tr>
            <w:tr w:rsidR="000249E3" w:rsidRPr="000249E3" w14:paraId="50BCCBC4" w14:textId="77777777" w:rsidTr="000249E3">
              <w:trPr>
                <w:gridBefore w:val="2"/>
                <w:wBefore w:w="439" w:type="dxa"/>
                <w:trHeight w:val="357"/>
              </w:trPr>
              <w:tc>
                <w:tcPr>
                  <w:tcW w:w="1498" w:type="dxa"/>
                </w:tcPr>
                <w:p w14:paraId="3C6B7171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EBC98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SARS-CoV-2 positive</w:t>
                  </w:r>
                </w:p>
                <w:p w14:paraId="709F12D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N=26,104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A290E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SARS-CoV-2 negative</w:t>
                  </w:r>
                </w:p>
                <w:p w14:paraId="749EE32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N=194,484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7C860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p-value</w:t>
                  </w: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2322" w:type="dxa"/>
                  <w:tcBorders>
                    <w:bottom w:val="single" w:sz="4" w:space="0" w:color="auto"/>
                  </w:tcBorders>
                  <w:vAlign w:val="center"/>
                </w:tcPr>
                <w:p w14:paraId="5A2EFCA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 xml:space="preserve">  SARS-CoV-2 positive</w:t>
                  </w:r>
                </w:p>
                <w:p w14:paraId="57A0914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N=198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F12F9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  <w:vertAlign w:val="superscript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p-value</w:t>
                  </w: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  <w:vertAlign w:val="superscript"/>
                    </w:rPr>
                    <w:t>b</w:t>
                  </w:r>
                </w:p>
              </w:tc>
            </w:tr>
            <w:tr w:rsidR="000249E3" w:rsidRPr="000249E3" w14:paraId="1F1DEE4B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1860" w:type="dxa"/>
                  <w:gridSpan w:val="2"/>
                </w:tcPr>
                <w:p w14:paraId="75E1F258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All VTE events</w:t>
                  </w: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81B197E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198 (7.59)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14:paraId="42ADFCF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1,008 (5.18)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</w:tcBorders>
                  <w:vAlign w:val="center"/>
                </w:tcPr>
                <w:p w14:paraId="27CE9C3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&lt;0.001</w:t>
                  </w:r>
                </w:p>
              </w:tc>
              <w:tc>
                <w:tcPr>
                  <w:tcW w:w="232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C4C004A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7 (1-16)</w:t>
                  </w:r>
                </w:p>
                <w:p w14:paraId="4AB3D89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11 (4-21)</w:t>
                  </w:r>
                </w:p>
                <w:p w14:paraId="7089248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7 (1-14)</w:t>
                  </w:r>
                </w:p>
                <w:p w14:paraId="584AF255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5 (1-13)</w:t>
                  </w:r>
                </w:p>
                <w:p w14:paraId="4E3F95FF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11 (1-25)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</w:tcBorders>
                  <w:vAlign w:val="center"/>
                </w:tcPr>
                <w:p w14:paraId="786A3FC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</w:tr>
            <w:tr w:rsidR="000249E3" w:rsidRPr="000249E3" w14:paraId="6463E5A2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1860" w:type="dxa"/>
                  <w:gridSpan w:val="2"/>
                </w:tcPr>
                <w:p w14:paraId="5A4B78DA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Outpatient events</w:t>
                  </w:r>
                </w:p>
              </w:tc>
              <w:tc>
                <w:tcPr>
                  <w:tcW w:w="1705" w:type="dxa"/>
                  <w:gridSpan w:val="2"/>
                  <w:vAlign w:val="center"/>
                </w:tcPr>
                <w:p w14:paraId="1C68399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47 (1.80)</w:t>
                  </w:r>
                </w:p>
              </w:tc>
              <w:tc>
                <w:tcPr>
                  <w:tcW w:w="1394" w:type="dxa"/>
                  <w:vAlign w:val="center"/>
                </w:tcPr>
                <w:p w14:paraId="6575E2A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434 (2.23)</w:t>
                  </w:r>
                </w:p>
              </w:tc>
              <w:tc>
                <w:tcPr>
                  <w:tcW w:w="852" w:type="dxa"/>
                  <w:vAlign w:val="center"/>
                </w:tcPr>
                <w:p w14:paraId="76859648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0.16</w:t>
                  </w:r>
                </w:p>
              </w:tc>
              <w:tc>
                <w:tcPr>
                  <w:tcW w:w="2322" w:type="dxa"/>
                  <w:vMerge/>
                  <w:vAlign w:val="center"/>
                </w:tcPr>
                <w:p w14:paraId="7DE33207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14:paraId="100329B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</w:tr>
            <w:tr w:rsidR="000249E3" w:rsidRPr="000249E3" w14:paraId="222C770E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1860" w:type="dxa"/>
                  <w:gridSpan w:val="2"/>
                </w:tcPr>
                <w:p w14:paraId="676D72BB" w14:textId="387531D3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Hospital-assoc</w:t>
                  </w:r>
                  <w:r>
                    <w:rPr>
                      <w:rFonts w:eastAsia="GuardianTextEgypGR-Regular" w:cstheme="minorHAnsi"/>
                      <w:color w:val="000000"/>
                      <w:szCs w:val="20"/>
                    </w:rPr>
                    <w:t>.</w:t>
                  </w:r>
                </w:p>
              </w:tc>
              <w:tc>
                <w:tcPr>
                  <w:tcW w:w="1705" w:type="dxa"/>
                  <w:gridSpan w:val="2"/>
                  <w:vAlign w:val="center"/>
                </w:tcPr>
                <w:p w14:paraId="6CD76BF0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151 (5.78)</w:t>
                  </w:r>
                </w:p>
              </w:tc>
              <w:tc>
                <w:tcPr>
                  <w:tcW w:w="1394" w:type="dxa"/>
                  <w:vAlign w:val="center"/>
                </w:tcPr>
                <w:p w14:paraId="1F54C7A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574 (2.95)</w:t>
                  </w:r>
                </w:p>
              </w:tc>
              <w:tc>
                <w:tcPr>
                  <w:tcW w:w="852" w:type="dxa"/>
                  <w:vAlign w:val="center"/>
                </w:tcPr>
                <w:p w14:paraId="127B45A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&lt;0.001</w:t>
                  </w:r>
                </w:p>
              </w:tc>
              <w:tc>
                <w:tcPr>
                  <w:tcW w:w="2322" w:type="dxa"/>
                  <w:vMerge/>
                  <w:vAlign w:val="center"/>
                </w:tcPr>
                <w:p w14:paraId="1E2AF8AC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14:paraId="7192A76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0.10</w:t>
                  </w:r>
                </w:p>
              </w:tc>
            </w:tr>
            <w:tr w:rsidR="000249E3" w:rsidRPr="000249E3" w14:paraId="4A21529C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1860" w:type="dxa"/>
                  <w:gridSpan w:val="2"/>
                </w:tcPr>
                <w:p w14:paraId="1EE011C1" w14:textId="77777777" w:rsidR="000249E3" w:rsidRPr="000249E3" w:rsidRDefault="000249E3" w:rsidP="009B4B85">
                  <w:pPr>
                    <w:framePr w:hSpace="180" w:wrap="around" w:vAnchor="page" w:hAnchor="margin" w:y="2581"/>
                    <w:ind w:left="153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Inpatient</w:t>
                  </w:r>
                </w:p>
              </w:tc>
              <w:tc>
                <w:tcPr>
                  <w:tcW w:w="1705" w:type="dxa"/>
                  <w:gridSpan w:val="2"/>
                  <w:vAlign w:val="center"/>
                </w:tcPr>
                <w:p w14:paraId="1515DF66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125 (4.79)</w:t>
                  </w:r>
                </w:p>
              </w:tc>
              <w:tc>
                <w:tcPr>
                  <w:tcW w:w="1394" w:type="dxa"/>
                  <w:vAlign w:val="center"/>
                </w:tcPr>
                <w:p w14:paraId="03280E1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352 (1.81)</w:t>
                  </w:r>
                </w:p>
              </w:tc>
              <w:tc>
                <w:tcPr>
                  <w:tcW w:w="852" w:type="dxa"/>
                  <w:vAlign w:val="center"/>
                </w:tcPr>
                <w:p w14:paraId="32B07CF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&lt;0.001</w:t>
                  </w:r>
                </w:p>
              </w:tc>
              <w:tc>
                <w:tcPr>
                  <w:tcW w:w="2322" w:type="dxa"/>
                  <w:vMerge/>
                  <w:vAlign w:val="center"/>
                </w:tcPr>
                <w:p w14:paraId="37B7D572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14:paraId="22845799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</w:tr>
            <w:tr w:rsidR="000249E3" w:rsidRPr="000249E3" w14:paraId="6D62BC3A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1860" w:type="dxa"/>
                  <w:gridSpan w:val="2"/>
                  <w:tcBorders>
                    <w:bottom w:val="single" w:sz="4" w:space="0" w:color="auto"/>
                  </w:tcBorders>
                </w:tcPr>
                <w:p w14:paraId="7B6B1631" w14:textId="03054B0A" w:rsidR="000249E3" w:rsidRPr="000249E3" w:rsidRDefault="000249E3" w:rsidP="009B4B85">
                  <w:pPr>
                    <w:framePr w:hSpace="180" w:wrap="around" w:vAnchor="page" w:hAnchor="margin" w:y="2581"/>
                    <w:ind w:left="153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 xml:space="preserve">Post-hospital </w:t>
                  </w: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63F48BD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26 (0.96)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54D66D13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222 (1.14)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vAlign w:val="center"/>
                </w:tcPr>
                <w:p w14:paraId="412359C1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0.51</w:t>
                  </w:r>
                </w:p>
              </w:tc>
              <w:tc>
                <w:tcPr>
                  <w:tcW w:w="232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4371184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bottom w:val="single" w:sz="4" w:space="0" w:color="auto"/>
                  </w:tcBorders>
                  <w:vAlign w:val="center"/>
                </w:tcPr>
                <w:p w14:paraId="4FA7A49B" w14:textId="77777777" w:rsidR="000249E3" w:rsidRPr="000249E3" w:rsidRDefault="000249E3" w:rsidP="009B4B85">
                  <w:pPr>
                    <w:framePr w:hSpace="180" w:wrap="around" w:vAnchor="page" w:hAnchor="margin" w:y="2581"/>
                    <w:jc w:val="center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0.67</w:t>
                  </w:r>
                </w:p>
              </w:tc>
            </w:tr>
            <w:tr w:rsidR="000249E3" w:rsidRPr="000249E3" w14:paraId="5FB3EA80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9098" w:type="dxa"/>
                  <w:gridSpan w:val="8"/>
                  <w:tcBorders>
                    <w:top w:val="single" w:sz="4" w:space="0" w:color="auto"/>
                  </w:tcBorders>
                </w:tcPr>
                <w:p w14:paraId="7FDBE8D0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VTE=venous thromboembolism; IQR=interquartile range</w:t>
                  </w:r>
                </w:p>
                <w:p w14:paraId="327F7B8F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  <w:vertAlign w:val="superscript"/>
                    </w:rPr>
                    <w:t xml:space="preserve">a </w:t>
                  </w: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>Chi-square test</w:t>
                  </w:r>
                </w:p>
              </w:tc>
            </w:tr>
            <w:tr w:rsidR="000249E3" w:rsidRPr="000249E3" w14:paraId="44EE9D68" w14:textId="77777777" w:rsidTr="000249E3">
              <w:trPr>
                <w:gridBefore w:val="1"/>
                <w:wBefore w:w="77" w:type="dxa"/>
                <w:trHeight w:val="177"/>
              </w:trPr>
              <w:tc>
                <w:tcPr>
                  <w:tcW w:w="9098" w:type="dxa"/>
                  <w:gridSpan w:val="8"/>
                </w:tcPr>
                <w:p w14:paraId="14380A44" w14:textId="77777777" w:rsidR="000249E3" w:rsidRPr="000249E3" w:rsidRDefault="000249E3" w:rsidP="009B4B85">
                  <w:pPr>
                    <w:framePr w:hSpace="180" w:wrap="around" w:vAnchor="page" w:hAnchor="margin" w:y="2581"/>
                    <w:rPr>
                      <w:rFonts w:eastAsia="GuardianTextEgypGR-Regular" w:cstheme="minorHAnsi"/>
                      <w:color w:val="000000"/>
                      <w:szCs w:val="20"/>
                    </w:rPr>
                  </w:pP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  <w:vertAlign w:val="superscript"/>
                    </w:rPr>
                    <w:t xml:space="preserve">b </w:t>
                  </w:r>
                  <w:r w:rsidRPr="000249E3">
                    <w:rPr>
                      <w:rFonts w:eastAsia="GuardianTextEgypGR-Regular" w:cstheme="minorHAnsi"/>
                      <w:color w:val="000000"/>
                      <w:szCs w:val="20"/>
                    </w:rPr>
                    <w:t xml:space="preserve">Kruskal-Wallis test comparing outpatient VTE with hospital-associated VTE and the subset of post-hospital VTE </w:t>
                  </w:r>
                </w:p>
              </w:tc>
            </w:tr>
            <w:bookmarkEnd w:id="4"/>
          </w:tbl>
          <w:p w14:paraId="722DE921" w14:textId="717FCFBD" w:rsidR="0048655A" w:rsidRPr="000249E3" w:rsidRDefault="0048655A" w:rsidP="0048655A">
            <w:pPr>
              <w:spacing w:line="259" w:lineRule="auto"/>
              <w:rPr>
                <w:rFonts w:cstheme="minorHAnsi"/>
              </w:rPr>
            </w:pPr>
          </w:p>
        </w:tc>
      </w:tr>
      <w:bookmarkEnd w:id="2"/>
    </w:tbl>
    <w:p w14:paraId="62800767" w14:textId="77777777" w:rsidR="00FE6194" w:rsidRPr="000249E3" w:rsidRDefault="00FE6194" w:rsidP="00C73A94">
      <w:pPr>
        <w:spacing w:after="0"/>
        <w:rPr>
          <w:rFonts w:cstheme="minorHAnsi"/>
        </w:rPr>
      </w:pPr>
    </w:p>
    <w:sectPr w:rsidR="00FE6194" w:rsidRPr="000249E3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ardianTextEgypGR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ardianAgateSans1GR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249E3"/>
    <w:rsid w:val="000811DB"/>
    <w:rsid w:val="001D52BB"/>
    <w:rsid w:val="001E348B"/>
    <w:rsid w:val="002A1A00"/>
    <w:rsid w:val="0031051B"/>
    <w:rsid w:val="003D755D"/>
    <w:rsid w:val="003E27D1"/>
    <w:rsid w:val="003E34C5"/>
    <w:rsid w:val="0048655A"/>
    <w:rsid w:val="00514319"/>
    <w:rsid w:val="006C3D0A"/>
    <w:rsid w:val="006D32D2"/>
    <w:rsid w:val="0072563B"/>
    <w:rsid w:val="00777238"/>
    <w:rsid w:val="008131C8"/>
    <w:rsid w:val="008A7C90"/>
    <w:rsid w:val="009001F2"/>
    <w:rsid w:val="00933309"/>
    <w:rsid w:val="009B4B85"/>
    <w:rsid w:val="00A16BB1"/>
    <w:rsid w:val="00B96322"/>
    <w:rsid w:val="00C3487D"/>
    <w:rsid w:val="00C4025A"/>
    <w:rsid w:val="00C73A94"/>
    <w:rsid w:val="00CB0455"/>
    <w:rsid w:val="00CF4301"/>
    <w:rsid w:val="00D003F1"/>
    <w:rsid w:val="00D24534"/>
    <w:rsid w:val="00DD0DD1"/>
    <w:rsid w:val="00EB040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70BD2-A5B1-4EE9-9E50-A9BCC08A5FF7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4</cp:revision>
  <dcterms:created xsi:type="dcterms:W3CDTF">2021-01-09T17:53:00Z</dcterms:created>
  <dcterms:modified xsi:type="dcterms:W3CDTF">2021-04-22T13:34:00Z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