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1A557A28" w:rsidP="4E551E08" w:rsidRDefault="006456C3" w14:paraId="122812DC" w14:textId="11F405A0">
      <w:pPr>
        <w:rPr>
          <w:rFonts w:ascii="Calibri" w:hAnsi="Calibri" w:eastAsia="Calibri" w:cs="Calibri"/>
          <w:color w:val="4472C4" w:themeColor="accent1"/>
          <w:sz w:val="28"/>
          <w:szCs w:val="28"/>
        </w:rPr>
      </w:pPr>
      <w:bookmarkStart w:name="_GoBack" w:id="0"/>
      <w:r>
        <w:rPr>
          <w:rFonts w:ascii="Calibri" w:hAnsi="Calibri" w:eastAsia="Calibri" w:cs="Calibri"/>
          <w:color w:val="4472C4" w:themeColor="accent1"/>
          <w:sz w:val="28"/>
          <w:szCs w:val="28"/>
        </w:rPr>
        <w:t>Benefits of Hepatitis C Virus Cure</w:t>
      </w:r>
    </w:p>
    <w:bookmarkEnd w:id="0"/>
    <w:p w:rsidR="008A7C90" w:rsidP="006456C3" w:rsidRDefault="006456C3" w14:paraId="7FCD574A" w14:textId="704D407E">
      <w:pPr>
        <w:pStyle w:val="NoSpacing"/>
      </w:pPr>
      <w:r w:rsidRPr="006456C3">
        <w:rPr>
          <w:rFonts w:cstheme="minorHAnsi"/>
        </w:rPr>
        <w:t>Varun Saxena, MD MAS</w:t>
      </w:r>
      <w:r>
        <w:rPr>
          <w:rFonts w:cstheme="minorHAnsi"/>
        </w:rPr>
        <w:t>;</w:t>
      </w:r>
      <w:r w:rsidRPr="006456C3">
        <w:rPr>
          <w:rFonts w:cstheme="minorHAnsi"/>
        </w:rPr>
        <w:t xml:space="preserve"> Weilu Wu; Sreepriya Balasubramanian, MD MPH;</w:t>
      </w:r>
      <w:r>
        <w:rPr>
          <w:rFonts w:cstheme="minorHAnsi"/>
        </w:rPr>
        <w:t xml:space="preserve"> </w:t>
      </w:r>
      <w:r w:rsidRPr="006456C3">
        <w:rPr>
          <w:rFonts w:cstheme="minorHAnsi"/>
        </w:rPr>
        <w:t>Suk I. Seo, MD; Joanna B. Ready, MD; Brock A. MacDonald, MD; Nizar Mukhtar, MD; Julie A. Schmittdiel, PhD, MAS</w:t>
      </w:r>
    </w:p>
    <w:tbl>
      <w:tblPr>
        <w:tblStyle w:val="TableGrid"/>
        <w:tblpPr w:leftFromText="180" w:rightFromText="180" w:vertAnchor="page" w:horzAnchor="margin" w:tblpY="2581"/>
        <w:tblW w:w="10705" w:type="dxa"/>
        <w:tblLook w:val="04A0" w:firstRow="1" w:lastRow="0" w:firstColumn="1" w:lastColumn="0" w:noHBand="0" w:noVBand="1"/>
      </w:tblPr>
      <w:tblGrid>
        <w:gridCol w:w="1975"/>
        <w:gridCol w:w="8730"/>
      </w:tblGrid>
      <w:tr w:rsidRPr="008A7C90" w:rsidR="0048655A" w:rsidTr="7C956570" w14:paraId="307289BF" w14:textId="77777777">
        <w:trPr>
          <w:trHeight w:val="816"/>
        </w:trPr>
        <w:tc>
          <w:tcPr>
            <w:tcW w:w="1975" w:type="dxa"/>
            <w:tcMar/>
          </w:tcPr>
          <w:p w:rsidRPr="008A7C90" w:rsidR="0048655A" w:rsidP="0048655A" w:rsidRDefault="0048655A" w14:paraId="2C7E2D09" w14:textId="77777777">
            <w:pPr>
              <w:spacing w:line="259" w:lineRule="auto"/>
            </w:pPr>
            <w:bookmarkStart w:name="_Hlk54105970" w:id="1"/>
            <w:r w:rsidRPr="008A7C90">
              <w:t>Challenge</w:t>
            </w:r>
          </w:p>
        </w:tc>
        <w:tc>
          <w:tcPr>
            <w:tcW w:w="8730" w:type="dxa"/>
            <w:tcMar/>
          </w:tcPr>
          <w:p w:rsidRPr="006456C3" w:rsidR="006456C3" w:rsidP="006456C3" w:rsidRDefault="006456C3" w14:paraId="7F9273D4" w14:textId="201A89E5">
            <w:pPr>
              <w:pStyle w:val="NoSpacing"/>
              <w:rPr>
                <w:rFonts w:cstheme="minorHAnsi"/>
                <w:b/>
                <w:bCs/>
              </w:rPr>
            </w:pPr>
            <w:r w:rsidRPr="006456C3">
              <w:rPr>
                <w:rFonts w:cstheme="minorHAnsi"/>
                <w:b/>
                <w:bCs/>
              </w:rPr>
              <w:t>Studies have demonstrated decreased rates of cirrhosis, decompensation</w:t>
            </w:r>
            <w:r>
              <w:rPr>
                <w:rFonts w:cstheme="minorHAnsi"/>
                <w:b/>
                <w:bCs/>
              </w:rPr>
              <w:t>, hepatocellular carcinoma (HCC)</w:t>
            </w:r>
            <w:r w:rsidRPr="006456C3">
              <w:rPr>
                <w:rFonts w:cstheme="minorHAnsi"/>
                <w:b/>
                <w:bCs/>
              </w:rPr>
              <w:t xml:space="preserve"> and mortality after cure of hepatitis C </w:t>
            </w:r>
            <w:r>
              <w:rPr>
                <w:rFonts w:cstheme="minorHAnsi"/>
                <w:b/>
                <w:bCs/>
              </w:rPr>
              <w:t xml:space="preserve">virus </w:t>
            </w:r>
            <w:r w:rsidRPr="006456C3">
              <w:rPr>
                <w:rFonts w:cstheme="minorHAnsi"/>
                <w:b/>
                <w:bCs/>
              </w:rPr>
              <w:t>(HCV), resulting in reduced healthcare burden. However, there is a lack of data identifying individuals whose risk of poor outcomes approaches that of the general, HCV negative, population and who can therefore be safely discharged from specialty clinics</w:t>
            </w:r>
            <w:r>
              <w:rPr>
                <w:rFonts w:cstheme="minorHAnsi"/>
                <w:b/>
                <w:bCs/>
              </w:rPr>
              <w:t xml:space="preserve"> and HCC surveillance programs.</w:t>
            </w:r>
          </w:p>
        </w:tc>
      </w:tr>
      <w:tr w:rsidRPr="008A7C90" w:rsidR="0048655A" w:rsidTr="7C956570" w14:paraId="67D435C8" w14:textId="77777777">
        <w:trPr>
          <w:trHeight w:val="1091"/>
        </w:trPr>
        <w:tc>
          <w:tcPr>
            <w:tcW w:w="1975" w:type="dxa"/>
            <w:tcMar/>
          </w:tcPr>
          <w:p w:rsidRPr="008A7C90" w:rsidR="0048655A" w:rsidP="0048655A" w:rsidRDefault="0048655A" w14:paraId="351B366F" w14:textId="77777777">
            <w:pPr>
              <w:spacing w:line="259" w:lineRule="auto"/>
            </w:pPr>
            <w:r w:rsidRPr="008A7C90">
              <w:t>Existing Evidence</w:t>
            </w:r>
          </w:p>
        </w:tc>
        <w:tc>
          <w:tcPr>
            <w:tcW w:w="8730" w:type="dxa"/>
            <w:tcMar/>
          </w:tcPr>
          <w:p w:rsidRPr="008A7C90" w:rsidR="0048655A" w:rsidP="0048655A" w:rsidRDefault="006456C3" w14:paraId="70041630" w14:textId="0402DD9E">
            <w:pPr>
              <w:spacing w:line="259" w:lineRule="auto"/>
            </w:pPr>
            <w:r w:rsidR="006456C3">
              <w:rPr/>
              <w:t xml:space="preserve">Numerous studies have demonstrated that </w:t>
            </w:r>
            <w:r w:rsidR="004D2865">
              <w:rPr/>
              <w:t xml:space="preserve">HCV cure results in significant decreases in the risk of cirrhosis, decompensation, HCC and mortality. However, poor outcomes continue to occur at a rate higher than those who never had HCV requiring ongoing specialty clinic care and HCC surveillance. </w:t>
            </w:r>
            <w:r w:rsidR="70172B54">
              <w:rPr/>
              <w:t>Thus</w:t>
            </w:r>
            <w:r w:rsidR="004D2865">
              <w:rPr/>
              <w:t>, the American Association for the Study of Liver Diseases (AASLD) currently recommend</w:t>
            </w:r>
            <w:r w:rsidR="32B70F56">
              <w:rPr/>
              <w:t>s</w:t>
            </w:r>
            <w:r w:rsidR="004D2865">
              <w:rPr/>
              <w:t xml:space="preserve"> indefinite HCC surveillance after HCV cure despite significant reduction of risk.</w:t>
            </w:r>
          </w:p>
        </w:tc>
      </w:tr>
      <w:tr w:rsidRPr="008A7C90" w:rsidR="0048655A" w:rsidTr="7C956570" w14:paraId="136E6453" w14:textId="77777777">
        <w:trPr>
          <w:trHeight w:val="262"/>
        </w:trPr>
        <w:tc>
          <w:tcPr>
            <w:tcW w:w="1975" w:type="dxa"/>
            <w:tcMar/>
          </w:tcPr>
          <w:p w:rsidRPr="008A7C90" w:rsidR="0048655A" w:rsidP="0048655A" w:rsidRDefault="0048655A" w14:paraId="53202DB8" w14:textId="77777777">
            <w:pPr>
              <w:spacing w:line="259" w:lineRule="auto"/>
            </w:pPr>
            <w:r w:rsidRPr="008A7C90">
              <w:t>Target Population</w:t>
            </w:r>
          </w:p>
        </w:tc>
        <w:tc>
          <w:tcPr>
            <w:tcW w:w="8730" w:type="dxa"/>
            <w:tcMar/>
          </w:tcPr>
          <w:p w:rsidRPr="008A7C90" w:rsidR="0048655A" w:rsidP="0048655A" w:rsidRDefault="004D2865" w14:paraId="1486D38C" w14:textId="0B765CEA">
            <w:pPr>
              <w:spacing w:line="259" w:lineRule="auto"/>
            </w:pPr>
            <w:r>
              <w:t>All adults</w:t>
            </w:r>
            <w:r w:rsidR="00ED42C0">
              <w:t xml:space="preserve"> (</w:t>
            </w:r>
            <w:r w:rsidR="00ED42C0">
              <w:rPr>
                <w:rFonts w:cstheme="minorHAnsi"/>
              </w:rPr>
              <w:t>≥</w:t>
            </w:r>
            <w:r w:rsidR="00ED42C0">
              <w:t>18 years) with HCV cure</w:t>
            </w:r>
          </w:p>
        </w:tc>
      </w:tr>
      <w:tr w:rsidRPr="008A7C90" w:rsidR="0048655A" w:rsidTr="7C956570" w14:paraId="5B80BED5" w14:textId="77777777">
        <w:trPr>
          <w:trHeight w:val="276"/>
        </w:trPr>
        <w:tc>
          <w:tcPr>
            <w:tcW w:w="1975" w:type="dxa"/>
            <w:tcMar/>
          </w:tcPr>
          <w:p w:rsidRPr="008A7C90" w:rsidR="0048655A" w:rsidP="0048655A" w:rsidRDefault="0048655A" w14:paraId="0D0B7C0D" w14:textId="77777777">
            <w:pPr>
              <w:spacing w:line="259" w:lineRule="auto"/>
            </w:pPr>
            <w:r w:rsidRPr="008A7C90">
              <w:t>Intervention or Exposure</w:t>
            </w:r>
          </w:p>
        </w:tc>
        <w:tc>
          <w:tcPr>
            <w:tcW w:w="8730" w:type="dxa"/>
            <w:tcMar/>
          </w:tcPr>
          <w:p w:rsidRPr="008A7C90" w:rsidR="0048655A" w:rsidP="0048655A" w:rsidRDefault="00ED42C0" w14:paraId="0CA2C589" w14:textId="49AF9B9D">
            <w:pPr>
              <w:spacing w:line="259" w:lineRule="auto"/>
            </w:pPr>
            <w:r w:rsidR="00ED42C0">
              <w:rPr/>
              <w:t xml:space="preserve">Development of risk scores that identify patients with HCV cure whose risk of cirrhosis, decompensation, HCC and mortality approaches those of the general, HCV negative, population </w:t>
            </w:r>
            <w:r w:rsidR="5BB29893">
              <w:rPr/>
              <w:t xml:space="preserve">would inform </w:t>
            </w:r>
            <w:r w:rsidR="00ED42C0">
              <w:rPr/>
              <w:t xml:space="preserve">who can </w:t>
            </w:r>
            <w:r w:rsidR="4ACF8804">
              <w:rPr/>
              <w:t xml:space="preserve">safely stop </w:t>
            </w:r>
            <w:r w:rsidR="00ED42C0">
              <w:rPr/>
              <w:t>specialty c</w:t>
            </w:r>
            <w:r w:rsidR="14D1CAEF">
              <w:rPr/>
              <w:t>are</w:t>
            </w:r>
            <w:r w:rsidR="00ED42C0">
              <w:rPr/>
              <w:t xml:space="preserve"> and HCC surveillance programs.</w:t>
            </w:r>
          </w:p>
        </w:tc>
      </w:tr>
      <w:tr w:rsidRPr="008A7C90" w:rsidR="0048655A" w:rsidTr="7C956570" w14:paraId="13978FD3" w14:textId="77777777">
        <w:trPr>
          <w:trHeight w:val="2282"/>
        </w:trPr>
        <w:tc>
          <w:tcPr>
            <w:tcW w:w="1975" w:type="dxa"/>
            <w:tcMar/>
          </w:tcPr>
          <w:p w:rsidRPr="00EF635D" w:rsidR="0048655A" w:rsidP="0048655A" w:rsidRDefault="0048655A" w14:paraId="7525D5B4" w14:textId="77777777">
            <w:pPr>
              <w:spacing w:line="259" w:lineRule="auto"/>
              <w:rPr>
                <w:b/>
                <w:bCs/>
              </w:rPr>
            </w:pPr>
            <w:r w:rsidRPr="00EF635D">
              <w:rPr>
                <w:b/>
                <w:bCs/>
              </w:rPr>
              <w:t>Outcomes/Key Findings</w:t>
            </w:r>
          </w:p>
        </w:tc>
        <w:tc>
          <w:tcPr>
            <w:tcW w:w="8730" w:type="dxa"/>
            <w:tcMar/>
          </w:tcPr>
          <w:p w:rsidRPr="008B6AAA" w:rsidR="0048655A" w:rsidP="0031051B" w:rsidRDefault="00ED42C0" w14:paraId="3CD35CB0" w14:textId="24F003B4">
            <w:pPr>
              <w:spacing w:line="259" w:lineRule="auto"/>
              <w:rPr>
                <w:b w:val="1"/>
                <w:bCs w:val="1"/>
              </w:rPr>
            </w:pPr>
            <w:r w:rsidR="00ED42C0">
              <w:rPr/>
              <w:t>Un</w:t>
            </w:r>
            <w:r w:rsidR="008B6AAA">
              <w:rPr/>
              <w:t xml:space="preserve">cured </w:t>
            </w:r>
            <w:r w:rsidR="00ED42C0">
              <w:rPr/>
              <w:t xml:space="preserve">HCV (n=21,184), HCV </w:t>
            </w:r>
            <w:r w:rsidR="008B6AAA">
              <w:rPr/>
              <w:t>cured</w:t>
            </w:r>
            <w:r w:rsidR="00ED42C0">
              <w:rPr/>
              <w:t xml:space="preserve"> (n=11,950) and matched controls (99,402) were followed for development of cirrhosis, decompensation, HCC and mortality</w:t>
            </w:r>
            <w:r w:rsidR="4C68069B">
              <w:rPr/>
              <w:t>, some for &gt;10 years</w:t>
            </w:r>
            <w:r w:rsidR="00ED42C0">
              <w:rPr/>
              <w:t xml:space="preserve">. </w:t>
            </w:r>
            <w:r w:rsidRPr="7C956570" w:rsidR="00ED42C0">
              <w:rPr>
                <w:b w:val="1"/>
                <w:bCs w:val="1"/>
              </w:rPr>
              <w:t>Comparing un</w:t>
            </w:r>
            <w:r w:rsidRPr="7C956570" w:rsidR="008B6AAA">
              <w:rPr>
                <w:b w:val="1"/>
                <w:bCs w:val="1"/>
              </w:rPr>
              <w:t>cured HCV vs. HCV cured vs. matched controls, r</w:t>
            </w:r>
            <w:r w:rsidRPr="7C956570" w:rsidR="00ED42C0">
              <w:rPr>
                <w:b w:val="1"/>
                <w:bCs w:val="1"/>
              </w:rPr>
              <w:t>ates of cirrhosis (18.4% vs. 4.1% vs. 1.1%), decompensation (10.8% vs. 2.8% vs. 0.9%), HCC (4.1% vs. 2.6% vs. 0.1%) and mortality (16% vs. 3.9% vs. 3.5%)</w:t>
            </w:r>
            <w:r w:rsidRPr="7C956570" w:rsidR="00C73A94">
              <w:rPr>
                <w:b w:val="1"/>
                <w:bCs w:val="1"/>
              </w:rPr>
              <w:t xml:space="preserve"> </w:t>
            </w:r>
            <w:r w:rsidRPr="7C956570" w:rsidR="00ED42C0">
              <w:rPr>
                <w:b w:val="1"/>
                <w:bCs w:val="1"/>
              </w:rPr>
              <w:t xml:space="preserve">were </w:t>
            </w:r>
            <w:r w:rsidRPr="7C956570" w:rsidR="008B6AAA">
              <w:rPr>
                <w:b w:val="1"/>
                <w:bCs w:val="1"/>
              </w:rPr>
              <w:t xml:space="preserve">consistently </w:t>
            </w:r>
            <w:r w:rsidRPr="7C956570" w:rsidR="00ED42C0">
              <w:rPr>
                <w:b w:val="1"/>
                <w:bCs w:val="1"/>
              </w:rPr>
              <w:t>lower</w:t>
            </w:r>
            <w:r w:rsidRPr="7C956570" w:rsidR="008B6AAA">
              <w:rPr>
                <w:b w:val="1"/>
                <w:bCs w:val="1"/>
              </w:rPr>
              <w:t xml:space="preserve"> among cured patients but did not reach that of controls.</w:t>
            </w:r>
            <w:r w:rsidR="008B6AAA">
              <w:rPr/>
              <w:t xml:space="preserve"> Cox-regression modeling is currently underway to develop risk scores to identify both those HCV cured patients whose risk of poor outcomes approaches that of controls as well as to identify those HCV cured patients whose risk remains </w:t>
            </w:r>
            <w:proofErr w:type="gramStart"/>
            <w:r w:rsidR="008B6AAA">
              <w:rPr/>
              <w:t>similar to</w:t>
            </w:r>
            <w:proofErr w:type="gramEnd"/>
            <w:r w:rsidR="008B6AAA">
              <w:rPr/>
              <w:t xml:space="preserve"> uncured HCV patients.</w:t>
            </w:r>
          </w:p>
        </w:tc>
      </w:tr>
      <w:tr w:rsidRPr="008A7C90" w:rsidR="0048655A" w:rsidTr="7C956570" w14:paraId="62542513" w14:textId="77777777">
        <w:trPr>
          <w:trHeight w:val="816"/>
        </w:trPr>
        <w:tc>
          <w:tcPr>
            <w:tcW w:w="1975" w:type="dxa"/>
            <w:tcMar/>
          </w:tcPr>
          <w:p w:rsidRPr="00EF635D" w:rsidR="0048655A" w:rsidP="0048655A" w:rsidRDefault="0048655A" w14:paraId="38755ADC" w14:textId="77777777">
            <w:pPr>
              <w:spacing w:line="259" w:lineRule="auto"/>
              <w:rPr>
                <w:b/>
                <w:bCs/>
              </w:rPr>
            </w:pPr>
            <w:r w:rsidRPr="00EF635D">
              <w:rPr>
                <w:b/>
                <w:bCs/>
              </w:rPr>
              <w:t>Resulting Action/Change</w:t>
            </w:r>
          </w:p>
        </w:tc>
        <w:tc>
          <w:tcPr>
            <w:tcW w:w="8730" w:type="dxa"/>
            <w:tcMar/>
          </w:tcPr>
          <w:p w:rsidRPr="00812AAB" w:rsidR="0048655A" w:rsidP="7C956570" w:rsidRDefault="00812AAB" w14:paraId="092B6F29" w14:textId="315EF450">
            <w:pPr>
              <w:spacing w:line="259" w:lineRule="auto"/>
              <w:rPr>
                <w:b w:val="1"/>
                <w:bCs w:val="1"/>
              </w:rPr>
            </w:pPr>
            <w:r w:rsidRPr="7C956570" w:rsidR="52FD64DE">
              <w:rPr>
                <w:b w:val="1"/>
                <w:bCs w:val="1"/>
              </w:rPr>
              <w:t xml:space="preserve">The results can inform </w:t>
            </w:r>
            <w:r w:rsidRPr="7C956570" w:rsidR="00812AAB">
              <w:rPr>
                <w:b w:val="1"/>
                <w:bCs w:val="1"/>
              </w:rPr>
              <w:t>TPMG policy as to who among HCV cured patients can safely be discharged from specialty clinics and HCC surveillance programs AND who may need even closer monitoring.</w:t>
            </w:r>
          </w:p>
        </w:tc>
      </w:tr>
      <w:tr w:rsidRPr="008A7C90" w:rsidR="00CB0455" w:rsidTr="7C956570" w14:paraId="57800790" w14:textId="77777777">
        <w:trPr>
          <w:trHeight w:val="816"/>
        </w:trPr>
        <w:tc>
          <w:tcPr>
            <w:tcW w:w="1975" w:type="dxa"/>
            <w:tcMar/>
          </w:tcPr>
          <w:p w:rsidRPr="00EB0401" w:rsidR="00CB0455" w:rsidP="0048655A" w:rsidRDefault="00CB0455" w14:paraId="6C4E04AC" w14:textId="161310DB">
            <w:r w:rsidRPr="00EB0401">
              <w:t>Additional Recommendations</w:t>
            </w:r>
          </w:p>
        </w:tc>
        <w:tc>
          <w:tcPr>
            <w:tcW w:w="8730" w:type="dxa"/>
            <w:tcMar/>
          </w:tcPr>
          <w:p w:rsidRPr="00EB0401" w:rsidR="00CB0455" w:rsidP="0048655A" w:rsidRDefault="00812AAB" w14:paraId="08163871" w14:textId="7DD3307F">
            <w:r w:rsidR="00812AAB">
              <w:rPr/>
              <w:t>Operational leaders can consider incorporating risk scores into clinical toolbars or other handy, visible and accessible ways so as policy results can be implemented at the time of clinical care.</w:t>
            </w:r>
            <w:r w:rsidR="5ABF9DC7">
              <w:rPr/>
              <w:t xml:space="preserve">  These results also recommend evaluation of similar variations in treatment approach </w:t>
            </w:r>
            <w:r w:rsidR="435973B4">
              <w:rPr/>
              <w:t>for other conditions with post-treatment risk-reduction</w:t>
            </w:r>
            <w:r w:rsidR="5ABF9DC7">
              <w:rPr/>
              <w:t>.</w:t>
            </w:r>
          </w:p>
        </w:tc>
      </w:tr>
      <w:tr w:rsidRPr="008A7C90" w:rsidR="0048655A" w:rsidTr="7C956570" w14:paraId="21F6FB6D" w14:textId="77777777">
        <w:trPr>
          <w:trHeight w:val="552"/>
        </w:trPr>
        <w:tc>
          <w:tcPr>
            <w:tcW w:w="1975" w:type="dxa"/>
            <w:tcMar/>
          </w:tcPr>
          <w:p w:rsidRPr="008A7C90" w:rsidR="0048655A" w:rsidP="0048655A" w:rsidRDefault="0048655A" w14:paraId="511F380C" w14:textId="77777777">
            <w:pPr>
              <w:spacing w:line="259" w:lineRule="auto"/>
            </w:pPr>
            <w:r w:rsidRPr="008A7C90">
              <w:t>Implementation Tools</w:t>
            </w:r>
            <w:r w:rsidRPr="008A7C90">
              <w:tab/>
            </w:r>
          </w:p>
        </w:tc>
        <w:tc>
          <w:tcPr>
            <w:tcW w:w="8730" w:type="dxa"/>
            <w:tcMar/>
          </w:tcPr>
          <w:p w:rsidRPr="008A7C90" w:rsidR="0048655A" w:rsidP="0048655A" w:rsidRDefault="00812AAB" w14:paraId="35B5FEA6" w14:textId="203CDD3B">
            <w:pPr>
              <w:spacing w:line="259" w:lineRule="auto"/>
            </w:pPr>
            <w:r>
              <w:t>Risk score calculators</w:t>
            </w:r>
          </w:p>
        </w:tc>
      </w:tr>
      <w:tr w:rsidRPr="008A7C90" w:rsidR="0048655A" w:rsidTr="7C956570" w14:paraId="02D4678D" w14:textId="77777777">
        <w:trPr>
          <w:trHeight w:val="552"/>
        </w:trPr>
        <w:tc>
          <w:tcPr>
            <w:tcW w:w="1975" w:type="dxa"/>
            <w:tcMar/>
          </w:tcPr>
          <w:p w:rsidRPr="008A7C90" w:rsidR="0048655A" w:rsidP="0048655A" w:rsidRDefault="0048655A" w14:paraId="1B184543" w14:textId="77777777">
            <w:pPr>
              <w:spacing w:line="259" w:lineRule="auto"/>
            </w:pPr>
            <w:r w:rsidRPr="008A7C90">
              <w:t>Implementation Measurement</w:t>
            </w:r>
          </w:p>
        </w:tc>
        <w:tc>
          <w:tcPr>
            <w:tcW w:w="8730" w:type="dxa"/>
            <w:tcMar/>
          </w:tcPr>
          <w:p w:rsidRPr="008A7C90" w:rsidR="0048655A" w:rsidP="0048655A" w:rsidRDefault="00812AAB" w14:paraId="0D25EBD1" w14:textId="635D9040">
            <w:pPr>
              <w:spacing w:line="259" w:lineRule="auto"/>
            </w:pPr>
            <w:r>
              <w:t>Review of gastroenterology and hepatology clinic visits done for HCV cured patients before and after risk scores available. Review of HCC surveillance performed on HCV cured patients before and after risk scores available.</w:t>
            </w:r>
          </w:p>
        </w:tc>
      </w:tr>
      <w:tr w:rsidRPr="008A7C90" w:rsidR="0048655A" w:rsidTr="7C956570" w14:paraId="66558595" w14:textId="77777777">
        <w:trPr>
          <w:trHeight w:val="538"/>
        </w:trPr>
        <w:tc>
          <w:tcPr>
            <w:tcW w:w="1975" w:type="dxa"/>
            <w:tcMar/>
          </w:tcPr>
          <w:p w:rsidRPr="008A7C90" w:rsidR="0048655A" w:rsidP="0048655A" w:rsidRDefault="0048655A" w14:paraId="29954FA9" w14:textId="77777777">
            <w:pPr>
              <w:spacing w:line="259" w:lineRule="auto"/>
            </w:pPr>
            <w:r w:rsidRPr="008A7C90">
              <w:t>Reference</w:t>
            </w:r>
          </w:p>
        </w:tc>
        <w:tc>
          <w:tcPr>
            <w:tcW w:w="8730" w:type="dxa"/>
            <w:tcMar/>
          </w:tcPr>
          <w:p w:rsidRPr="00EF41FA" w:rsidR="00EF41FA" w:rsidP="0048655A" w:rsidRDefault="00EF41FA" w14:paraId="39105B07" w14:textId="1945B0A4">
            <w:pPr>
              <w:spacing w:line="259" w:lineRule="auto"/>
              <w:rPr>
                <w:b/>
                <w:bCs/>
                <w:noProof/>
              </w:rPr>
            </w:pPr>
            <w:r w:rsidRPr="00EF41FA">
              <w:rPr>
                <w:b/>
                <w:bCs/>
                <w:noProof/>
              </w:rPr>
              <w:t xml:space="preserve">From </w:t>
            </w:r>
            <w:r>
              <w:rPr>
                <w:b/>
                <w:bCs/>
                <w:noProof/>
              </w:rPr>
              <w:t>DDW Abstract Submissions (some data above was updated after tables/figures made)</w:t>
            </w:r>
          </w:p>
          <w:p w:rsidR="00EF41FA" w:rsidP="0048655A" w:rsidRDefault="00EF41FA" w14:paraId="6F2166C2" w14:textId="2CB1B8EE">
            <w:pPr>
              <w:spacing w:line="259" w:lineRule="auto"/>
              <w:rPr>
                <w:noProof/>
              </w:rPr>
            </w:pPr>
            <w:r>
              <w:rPr>
                <w:noProof/>
              </w:rPr>
              <w:t>Table 1: Baseline (i.e. at Cohort Entry) Characteristics of Chronic HCV, HCV Cure and Control Groups.</w:t>
            </w:r>
          </w:p>
          <w:p w:rsidR="0048655A" w:rsidP="00EF41FA" w:rsidRDefault="00EF41FA" w14:paraId="4E6E7C66" w14:textId="77777777">
            <w:pPr>
              <w:spacing w:line="259" w:lineRule="auto"/>
              <w:rPr>
                <w:noProof/>
              </w:rPr>
            </w:pPr>
            <w:r>
              <w:rPr>
                <w:noProof/>
              </w:rPr>
              <w:t>Figure 1: Cumulative Incidence of Cirrhosis, Decompensated Cirrhosis and All-Cause Mortality by Group</w:t>
            </w:r>
          </w:p>
          <w:p w:rsidRPr="008A7C90" w:rsidR="00EF41FA" w:rsidP="00EF41FA" w:rsidRDefault="00EF41FA" w14:paraId="722DE921" w14:textId="62A9F1E5">
            <w:pPr>
              <w:spacing w:line="259" w:lineRule="auto"/>
            </w:pPr>
            <w:r>
              <w:t>Figure 2: Cumulative Incidence of HCC by Group</w:t>
            </w:r>
          </w:p>
        </w:tc>
      </w:tr>
      <w:bookmarkEnd w:id="1"/>
    </w:tbl>
    <w:p w:rsidR="00FE6194" w:rsidP="006456C3" w:rsidRDefault="00FE6194" w14:paraId="62800767" w14:textId="4C9CF81F">
      <w:pPr>
        <w:spacing w:after="0"/>
      </w:pPr>
    </w:p>
    <w:p w:rsidR="00EF41FA" w:rsidP="006456C3" w:rsidRDefault="00EF41FA" w14:paraId="3CE78DBC" w14:textId="1A354249">
      <w:pPr>
        <w:spacing w:after="0"/>
      </w:pPr>
    </w:p>
    <w:p w:rsidR="00EF41FA" w:rsidP="006456C3" w:rsidRDefault="00EF41FA" w14:paraId="083CADF5" w14:textId="1AEA55C4">
      <w:pPr>
        <w:spacing w:after="0"/>
      </w:pPr>
    </w:p>
    <w:p w:rsidR="00EF41FA" w:rsidP="006456C3" w:rsidRDefault="00EF41FA" w14:paraId="2AE8F7CD" w14:textId="467744C5">
      <w:pPr>
        <w:spacing w:after="0"/>
      </w:pPr>
    </w:p>
    <w:p w:rsidR="00EF41FA" w:rsidP="006456C3" w:rsidRDefault="00EF41FA" w14:paraId="6896167A" w14:textId="281E1D6B">
      <w:pPr>
        <w:spacing w:after="0"/>
      </w:pPr>
      <w:r>
        <w:lastRenderedPageBreak/>
        <w:t>Table 1:</w:t>
      </w:r>
    </w:p>
    <w:p w:rsidR="00EF41FA" w:rsidP="006456C3" w:rsidRDefault="00EF41FA" w14:paraId="265B5A8E" w14:textId="69B2AAFA">
      <w:pPr>
        <w:spacing w:after="0"/>
      </w:pPr>
      <w:r w:rsidR="00EF41FA">
        <w:drawing>
          <wp:inline wp14:editId="7C956570" wp14:anchorId="0656167C">
            <wp:extent cx="5934076" cy="7734302"/>
            <wp:effectExtent l="0" t="0" r="9525" b="0"/>
            <wp:docPr id="1" name="Picture 1" title=""/>
            <wp:cNvGraphicFramePr>
              <a:graphicFrameLocks/>
            </wp:cNvGraphicFramePr>
            <a:graphic>
              <a:graphicData uri="http://schemas.openxmlformats.org/drawingml/2006/picture">
                <pic:pic>
                  <pic:nvPicPr>
                    <pic:cNvPr id="0" name="Picture 1"/>
                    <pic:cNvPicPr/>
                  </pic:nvPicPr>
                  <pic:blipFill>
                    <a:blip r:embed="Re88d2237563f4d1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34076" cy="7734302"/>
                    </a:xfrm>
                    <a:prstGeom prst="rect">
                      <a:avLst/>
                    </a:prstGeom>
                  </pic:spPr>
                </pic:pic>
              </a:graphicData>
            </a:graphic>
          </wp:inline>
        </w:drawing>
      </w:r>
    </w:p>
    <w:p w:rsidR="00EF41FA" w:rsidP="006456C3" w:rsidRDefault="00EF41FA" w14:paraId="3B2D9186" w14:textId="77777777">
      <w:pPr>
        <w:spacing w:after="0"/>
      </w:pPr>
    </w:p>
    <w:p w:rsidR="00EF41FA" w:rsidP="006456C3" w:rsidRDefault="00EF41FA" w14:paraId="21B82094" w14:textId="77777777">
      <w:pPr>
        <w:spacing w:after="0"/>
      </w:pPr>
    </w:p>
    <w:p w:rsidR="00EF41FA" w:rsidP="006456C3" w:rsidRDefault="00EF41FA" w14:paraId="70C8919E" w14:textId="77777777">
      <w:pPr>
        <w:spacing w:after="0"/>
      </w:pPr>
    </w:p>
    <w:p w:rsidR="00EF41FA" w:rsidP="006456C3" w:rsidRDefault="00EF41FA" w14:paraId="39580FEF" w14:textId="77777777">
      <w:pPr>
        <w:spacing w:after="0"/>
      </w:pPr>
    </w:p>
    <w:p w:rsidR="00EF41FA" w:rsidP="006456C3" w:rsidRDefault="00EF41FA" w14:paraId="6DB186AA" w14:textId="77777777">
      <w:pPr>
        <w:spacing w:after="0"/>
      </w:pPr>
    </w:p>
    <w:p w:rsidR="00EF41FA" w:rsidP="006456C3" w:rsidRDefault="00EF41FA" w14:paraId="53788A68" w14:textId="77777777">
      <w:pPr>
        <w:spacing w:after="0"/>
      </w:pPr>
    </w:p>
    <w:p w:rsidR="00EF41FA" w:rsidP="006456C3" w:rsidRDefault="00EF41FA" w14:paraId="37EEC3D0" w14:textId="4E8806C5">
      <w:pPr>
        <w:spacing w:after="0"/>
      </w:pPr>
      <w:r>
        <w:lastRenderedPageBreak/>
        <w:t>Figure 1:</w:t>
      </w:r>
    </w:p>
    <w:p w:rsidR="00EF41FA" w:rsidP="006456C3" w:rsidRDefault="00EF41FA" w14:paraId="55698089" w14:textId="582DE066">
      <w:pPr>
        <w:spacing w:after="0"/>
      </w:pPr>
      <w:r w:rsidR="00EF41FA">
        <w:drawing>
          <wp:inline wp14:editId="0736D3CE" wp14:anchorId="73068570">
            <wp:extent cx="3933825" cy="8229600"/>
            <wp:effectExtent l="0" t="0" r="9525" b="0"/>
            <wp:docPr id="2" name="Picture 2" title=""/>
            <wp:cNvGraphicFramePr>
              <a:graphicFrameLocks/>
            </wp:cNvGraphicFramePr>
            <a:graphic>
              <a:graphicData uri="http://schemas.openxmlformats.org/drawingml/2006/picture">
                <pic:pic>
                  <pic:nvPicPr>
                    <pic:cNvPr id="0" name="Picture 2"/>
                    <pic:cNvPicPr/>
                  </pic:nvPicPr>
                  <pic:blipFill>
                    <a:blip r:embed="R568613c29df5464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933825" cy="8229600"/>
                    </a:xfrm>
                    <a:prstGeom prst="rect">
                      <a:avLst/>
                    </a:prstGeom>
                  </pic:spPr>
                </pic:pic>
              </a:graphicData>
            </a:graphic>
          </wp:inline>
        </w:drawing>
      </w:r>
    </w:p>
    <w:p w:rsidR="00EF41FA" w:rsidP="006456C3" w:rsidRDefault="00EF41FA" w14:paraId="2D78CFE8" w14:textId="77777777">
      <w:pPr>
        <w:spacing w:after="0"/>
      </w:pPr>
    </w:p>
    <w:p w:rsidR="00EF41FA" w:rsidP="006456C3" w:rsidRDefault="00EF41FA" w14:paraId="5E82F1D8" w14:textId="77777777">
      <w:pPr>
        <w:spacing w:after="0"/>
      </w:pPr>
    </w:p>
    <w:p w:rsidR="00EF41FA" w:rsidP="006456C3" w:rsidRDefault="00EF41FA" w14:paraId="61475139" w14:textId="77777777">
      <w:pPr>
        <w:spacing w:after="0"/>
      </w:pPr>
    </w:p>
    <w:p w:rsidR="00EF41FA" w:rsidP="006456C3" w:rsidRDefault="00EF41FA" w14:paraId="6144752C" w14:textId="6084CA07">
      <w:pPr>
        <w:spacing w:after="0"/>
      </w:pPr>
      <w:r>
        <w:lastRenderedPageBreak/>
        <w:t>Figure 2:</w:t>
      </w:r>
    </w:p>
    <w:p w:rsidR="00EF41FA" w:rsidP="006456C3" w:rsidRDefault="00EF41FA" w14:paraId="3A7258F8" w14:textId="41CC5EA8">
      <w:pPr>
        <w:spacing w:after="0"/>
      </w:pPr>
      <w:r w:rsidR="00EF41FA">
        <w:drawing>
          <wp:inline wp14:editId="4EE561F5" wp14:anchorId="58582BF8">
            <wp:extent cx="5943600" cy="5105402"/>
            <wp:effectExtent l="0" t="0" r="0" b="0"/>
            <wp:docPr id="3" name="Picture 3" title=""/>
            <wp:cNvGraphicFramePr>
              <a:graphicFrameLocks/>
            </wp:cNvGraphicFramePr>
            <a:graphic>
              <a:graphicData uri="http://schemas.openxmlformats.org/drawingml/2006/picture">
                <pic:pic>
                  <pic:nvPicPr>
                    <pic:cNvPr id="0" name="Picture 3"/>
                    <pic:cNvPicPr/>
                  </pic:nvPicPr>
                  <pic:blipFill>
                    <a:blip r:embed="R0ead11e5bbbe463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0" cy="5105402"/>
                    </a:xfrm>
                    <a:prstGeom prst="rect">
                      <a:avLst/>
                    </a:prstGeom>
                  </pic:spPr>
                </pic:pic>
              </a:graphicData>
            </a:graphic>
          </wp:inline>
        </w:drawing>
      </w:r>
    </w:p>
    <w:sectPr w:rsidR="00EF41FA" w:rsidSect="00D24534">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90"/>
    <w:rsid w:val="000811DB"/>
    <w:rsid w:val="001D52BB"/>
    <w:rsid w:val="001E348B"/>
    <w:rsid w:val="002A1A00"/>
    <w:rsid w:val="0031051B"/>
    <w:rsid w:val="003D755D"/>
    <w:rsid w:val="003E27D1"/>
    <w:rsid w:val="003E34C5"/>
    <w:rsid w:val="0048655A"/>
    <w:rsid w:val="004D2865"/>
    <w:rsid w:val="00514319"/>
    <w:rsid w:val="006456C3"/>
    <w:rsid w:val="006D32D2"/>
    <w:rsid w:val="0072563B"/>
    <w:rsid w:val="00777238"/>
    <w:rsid w:val="00812AAB"/>
    <w:rsid w:val="008131C8"/>
    <w:rsid w:val="008A7C90"/>
    <w:rsid w:val="008B6AAA"/>
    <w:rsid w:val="009001F2"/>
    <w:rsid w:val="00933309"/>
    <w:rsid w:val="00A16BB1"/>
    <w:rsid w:val="00C3487D"/>
    <w:rsid w:val="00C4025A"/>
    <w:rsid w:val="00C52AC8"/>
    <w:rsid w:val="00C73A94"/>
    <w:rsid w:val="00CB0455"/>
    <w:rsid w:val="00CF4301"/>
    <w:rsid w:val="00D003F1"/>
    <w:rsid w:val="00D24534"/>
    <w:rsid w:val="00EB0401"/>
    <w:rsid w:val="00ED42C0"/>
    <w:rsid w:val="00EF41FA"/>
    <w:rsid w:val="00EF635D"/>
    <w:rsid w:val="00FE6194"/>
    <w:rsid w:val="044CA370"/>
    <w:rsid w:val="0B4BE6C0"/>
    <w:rsid w:val="14D1CAEF"/>
    <w:rsid w:val="1A557A28"/>
    <w:rsid w:val="1CA7BB5A"/>
    <w:rsid w:val="30BD5087"/>
    <w:rsid w:val="32B70F56"/>
    <w:rsid w:val="373F5C00"/>
    <w:rsid w:val="435973B4"/>
    <w:rsid w:val="4ACF8804"/>
    <w:rsid w:val="4C68069B"/>
    <w:rsid w:val="4E551E08"/>
    <w:rsid w:val="52FD64DE"/>
    <w:rsid w:val="5ABF9DC7"/>
    <w:rsid w:val="5BB29893"/>
    <w:rsid w:val="6B8B7EB3"/>
    <w:rsid w:val="70172B54"/>
    <w:rsid w:val="72A20457"/>
    <w:rsid w:val="7AF9950F"/>
    <w:rsid w:val="7C956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87FD"/>
  <w15:chartTrackingRefBased/>
  <w15:docId w15:val="{9FC22822-AC04-437A-95FB-02AB6792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A7C90"/>
  </w:style>
  <w:style w:type="paragraph" w:styleId="Heading1">
    <w:name w:val="heading 1"/>
    <w:basedOn w:val="Normal"/>
    <w:next w:val="Normal"/>
    <w:link w:val="Heading1Char"/>
    <w:uiPriority w:val="9"/>
    <w:qFormat/>
    <w:rsid w:val="008A7C90"/>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A7C90"/>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39"/>
    <w:rsid w:val="008A7C9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A7C90"/>
    <w:rPr>
      <w:color w:val="0563C1" w:themeColor="hyperlink"/>
      <w:u w:val="single"/>
    </w:rPr>
  </w:style>
  <w:style w:type="character" w:styleId="UnresolvedMention">
    <w:name w:val="Unresolved Mention"/>
    <w:basedOn w:val="DefaultParagraphFont"/>
    <w:uiPriority w:val="99"/>
    <w:semiHidden/>
    <w:unhideWhenUsed/>
    <w:rsid w:val="008A7C90"/>
    <w:rPr>
      <w:color w:val="605E5C"/>
      <w:shd w:val="clear" w:color="auto" w:fill="E1DFDD"/>
    </w:rPr>
  </w:style>
  <w:style w:type="paragraph" w:styleId="NoSpacing">
    <w:name w:val="No Spacing"/>
    <w:uiPriority w:val="1"/>
    <w:qFormat/>
    <w:rsid w:val="006456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452509">
      <w:bodyDiv w:val="1"/>
      <w:marLeft w:val="0"/>
      <w:marRight w:val="0"/>
      <w:marTop w:val="0"/>
      <w:marBottom w:val="0"/>
      <w:divBdr>
        <w:top w:val="none" w:sz="0" w:space="0" w:color="auto"/>
        <w:left w:val="none" w:sz="0" w:space="0" w:color="auto"/>
        <w:bottom w:val="none" w:sz="0" w:space="0" w:color="auto"/>
        <w:right w:val="none" w:sz="0" w:space="0" w:color="auto"/>
      </w:divBdr>
    </w:div>
    <w:div w:id="207141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image" Target="/media/image4.jpg" Id="Re88d2237563f4d10" /><Relationship Type="http://schemas.openxmlformats.org/officeDocument/2006/relationships/image" Target="/media/image5.jpg" Id="R568613c29df5464b" /><Relationship Type="http://schemas.openxmlformats.org/officeDocument/2006/relationships/image" Target="/media/image6.jpg" Id="R0ead11e5bbbe463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7FAD6358FF44797152258F9FF7A83" ma:contentTypeVersion="1" ma:contentTypeDescription="Create a new document." ma:contentTypeScope="" ma:versionID="fe005cc003bb5b4080769400e5f53134">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CE7FE4-3E06-4734-AB0D-EE131FBA089A}"/>
</file>

<file path=customXml/itemProps2.xml><?xml version="1.0" encoding="utf-8"?>
<ds:datastoreItem xmlns:ds="http://schemas.openxmlformats.org/officeDocument/2006/customXml" ds:itemID="{AC888A28-5B10-48BE-B8D6-480C75C53C84}"/>
</file>

<file path=customXml/itemProps3.xml><?xml version="1.0" encoding="utf-8"?>
<ds:datastoreItem xmlns:ds="http://schemas.openxmlformats.org/officeDocument/2006/customXml" ds:itemID="{422B8E45-4B7B-44CA-883D-6EABF409C33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Cimone E Parker</dc:creator>
  <cp:keywords/>
  <dc:description/>
  <cp:lastModifiedBy>Douglas A Corley</cp:lastModifiedBy>
  <cp:revision>3</cp:revision>
  <dcterms:created xsi:type="dcterms:W3CDTF">2021-01-20T20:17:00Z</dcterms:created>
  <dcterms:modified xsi:type="dcterms:W3CDTF">2021-03-15T01:02:36Z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0x0101000FA7FAD6358FF44797152258F9FF7A83</vt:lpwstr>
  </property>
</Properties>
</file>