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2EE4" w14:textId="77777777" w:rsidR="001A1B6C" w:rsidRDefault="001A1B6C" w:rsidP="00A61965">
      <w:pPr>
        <w:pStyle w:val="NoSpacing"/>
        <w:rPr>
          <w:rFonts w:eastAsia="Calibri"/>
          <w:color w:val="4472C4" w:themeColor="accent1"/>
          <w:sz w:val="28"/>
          <w:szCs w:val="28"/>
        </w:rPr>
      </w:pPr>
      <w:r w:rsidRPr="001A1B6C">
        <w:rPr>
          <w:rFonts w:eastAsia="Calibri"/>
          <w:color w:val="4472C4" w:themeColor="accent1"/>
          <w:sz w:val="28"/>
          <w:szCs w:val="28"/>
        </w:rPr>
        <w:t>Frequency of use, indications for, and complications of corneal neurotization in KPNC patients with neurotrophic keratopathy</w:t>
      </w:r>
    </w:p>
    <w:p w14:paraId="443FE708" w14:textId="77777777" w:rsidR="001A1B6C" w:rsidRDefault="001A1B6C" w:rsidP="00A61965">
      <w:pPr>
        <w:pStyle w:val="NoSpacing"/>
        <w:rPr>
          <w:rFonts w:eastAsia="Calibri"/>
          <w:color w:val="4472C4" w:themeColor="accent1"/>
          <w:sz w:val="28"/>
          <w:szCs w:val="28"/>
        </w:rPr>
      </w:pPr>
    </w:p>
    <w:p w14:paraId="5F3534A0" w14:textId="48B0DDF5" w:rsidR="00A61965" w:rsidRDefault="00A61965" w:rsidP="00A61965">
      <w:pPr>
        <w:pStyle w:val="NoSpacing"/>
      </w:pPr>
      <w:r w:rsidRPr="0057424C">
        <w:t>Catherine J. Choi, MD, MS</w:t>
      </w:r>
      <w:r w:rsidR="00654C3C">
        <w:t xml:space="preserve">; </w:t>
      </w:r>
      <w:r w:rsidRPr="0057424C">
        <w:t xml:space="preserve">Liyan Liu, </w:t>
      </w:r>
      <w:proofErr w:type="spellStart"/>
      <w:r w:rsidRPr="0057424C">
        <w:t>Msc</w:t>
      </w:r>
      <w:proofErr w:type="spellEnd"/>
      <w:r w:rsidR="00654C3C">
        <w:t xml:space="preserve">; </w:t>
      </w:r>
      <w:r w:rsidRPr="0057424C">
        <w:t>Ying Qian, MD</w:t>
      </w:r>
      <w:r w:rsidR="00654C3C">
        <w:t xml:space="preserve">; </w:t>
      </w:r>
      <w:r w:rsidRPr="0057424C">
        <w:t>Lisa J. Herrinton, PhD</w:t>
      </w:r>
    </w:p>
    <w:p w14:paraId="7B8C2F03" w14:textId="77777777" w:rsidR="001A1B6C" w:rsidRPr="0057424C" w:rsidRDefault="001A1B6C" w:rsidP="00A61965">
      <w:pPr>
        <w:pStyle w:val="NoSpacing"/>
      </w:pPr>
    </w:p>
    <w:tbl>
      <w:tblPr>
        <w:tblStyle w:val="TableGrid"/>
        <w:tblpPr w:leftFromText="180" w:rightFromText="180" w:vertAnchor="page" w:horzAnchor="margin" w:tblpY="2506"/>
        <w:tblW w:w="10705" w:type="dxa"/>
        <w:tblLook w:val="04A0" w:firstRow="1" w:lastRow="0" w:firstColumn="1" w:lastColumn="0" w:noHBand="0" w:noVBand="1"/>
      </w:tblPr>
      <w:tblGrid>
        <w:gridCol w:w="1975"/>
        <w:gridCol w:w="8730"/>
      </w:tblGrid>
      <w:tr w:rsidR="00DF5C55" w:rsidRPr="008A7C90" w14:paraId="1A5FF3B9" w14:textId="77777777" w:rsidTr="001A1B6C">
        <w:trPr>
          <w:trHeight w:val="816"/>
        </w:trPr>
        <w:tc>
          <w:tcPr>
            <w:tcW w:w="1975" w:type="dxa"/>
          </w:tcPr>
          <w:p w14:paraId="5C85B9D8" w14:textId="77777777" w:rsidR="00DF5C55" w:rsidRPr="008A7C90" w:rsidRDefault="00DF5C55" w:rsidP="001A1B6C">
            <w:pPr>
              <w:spacing w:line="259" w:lineRule="auto"/>
            </w:pPr>
            <w:bookmarkStart w:id="0" w:name="_Hlk54105970"/>
            <w:r w:rsidRPr="008A7C90">
              <w:t>Challenge</w:t>
            </w:r>
          </w:p>
        </w:tc>
        <w:tc>
          <w:tcPr>
            <w:tcW w:w="8730" w:type="dxa"/>
          </w:tcPr>
          <w:p w14:paraId="113787C3" w14:textId="77777777" w:rsidR="00DF5C55" w:rsidRPr="0031051B" w:rsidRDefault="00DF5C55" w:rsidP="001A1B6C">
            <w:pPr>
              <w:spacing w:line="259" w:lineRule="auto"/>
              <w:rPr>
                <w:b/>
                <w:bCs/>
              </w:rPr>
            </w:pPr>
            <w:r w:rsidRPr="00A61965">
              <w:rPr>
                <w:b/>
                <w:bCs/>
              </w:rPr>
              <w:t>Neurotrophic keratopathy</w:t>
            </w:r>
            <w:r>
              <w:rPr>
                <w:b/>
                <w:bCs/>
              </w:rPr>
              <w:t xml:space="preserve"> (NK)</w:t>
            </w:r>
            <w:r w:rsidRPr="00A61965">
              <w:rPr>
                <w:b/>
                <w:bCs/>
              </w:rPr>
              <w:t xml:space="preserve"> is a condition in which sensory nerve loss from surgical and non-surgical trauma, tumors, contact lens-wear, infections, or congenital etiologies leads to corneal damage</w:t>
            </w:r>
            <w:r>
              <w:rPr>
                <w:b/>
                <w:bCs/>
              </w:rPr>
              <w:t xml:space="preserve"> and vision loss. The condition is extremely challenging to treat, has high healthcare utilization, and limited community-based data in the literature.</w:t>
            </w:r>
          </w:p>
        </w:tc>
      </w:tr>
      <w:tr w:rsidR="00DF5C55" w:rsidRPr="008A7C90" w14:paraId="30A147F2" w14:textId="77777777" w:rsidTr="001A1B6C">
        <w:trPr>
          <w:trHeight w:val="1091"/>
        </w:trPr>
        <w:tc>
          <w:tcPr>
            <w:tcW w:w="1975" w:type="dxa"/>
          </w:tcPr>
          <w:p w14:paraId="6E15B64E" w14:textId="77777777" w:rsidR="00DF5C55" w:rsidRPr="008A7C90" w:rsidRDefault="00DF5C55" w:rsidP="001A1B6C">
            <w:pPr>
              <w:spacing w:line="259" w:lineRule="auto"/>
            </w:pPr>
            <w:r w:rsidRPr="008A7C90">
              <w:t>Existing Evidence</w:t>
            </w:r>
          </w:p>
        </w:tc>
        <w:tc>
          <w:tcPr>
            <w:tcW w:w="8730" w:type="dxa"/>
          </w:tcPr>
          <w:p w14:paraId="51FFADB8" w14:textId="77777777" w:rsidR="00DF5C55" w:rsidRDefault="00DF5C55" w:rsidP="001A1B6C">
            <w:r w:rsidRPr="009230C7">
              <w:t xml:space="preserve">A French study of neurotrophic keratopathy </w:t>
            </w:r>
            <w:r>
              <w:t>describing</w:t>
            </w:r>
            <w:r w:rsidRPr="009230C7">
              <w:t xml:space="preserve"> 354 eyes</w:t>
            </w:r>
            <w:r>
              <w:t xml:space="preserve"> in a tertiary care center (1) was the largest study available, with others being limited to case series. </w:t>
            </w:r>
          </w:p>
          <w:p w14:paraId="58B84E86" w14:textId="77777777" w:rsidR="00DF5C55" w:rsidRDefault="00DF5C55" w:rsidP="001A1B6C">
            <w:pPr>
              <w:pStyle w:val="ListParagraph"/>
              <w:numPr>
                <w:ilvl w:val="0"/>
                <w:numId w:val="4"/>
              </w:numPr>
              <w:ind w:left="344"/>
            </w:pPr>
            <w:r>
              <w:t xml:space="preserve">Saad S, Abdelmassih Y, Saad R, </w:t>
            </w:r>
            <w:proofErr w:type="spellStart"/>
            <w:r>
              <w:t>Guindolet</w:t>
            </w:r>
            <w:proofErr w:type="spellEnd"/>
            <w:r>
              <w:t xml:space="preserve"> D, Khoury SE, Doan S, et al. Neurotrophic</w:t>
            </w:r>
          </w:p>
          <w:p w14:paraId="31A94CFD" w14:textId="77777777" w:rsidR="00DF5C55" w:rsidRDefault="00DF5C55" w:rsidP="001A1B6C">
            <w:r>
              <w:t xml:space="preserve">keratitis: Frequency, etiologies, clinical </w:t>
            </w:r>
            <w:proofErr w:type="gramStart"/>
            <w:r>
              <w:t>management</w:t>
            </w:r>
            <w:proofErr w:type="gramEnd"/>
            <w:r>
              <w:t xml:space="preserve"> and outcomes. </w:t>
            </w:r>
            <w:proofErr w:type="spellStart"/>
            <w:r>
              <w:t>Ocul</w:t>
            </w:r>
            <w:proofErr w:type="spellEnd"/>
            <w:r>
              <w:t xml:space="preserve"> Surf</w:t>
            </w:r>
          </w:p>
          <w:p w14:paraId="46FB4560" w14:textId="77777777" w:rsidR="00DF5C55" w:rsidRPr="008A7C90" w:rsidRDefault="00DF5C55" w:rsidP="001A1B6C">
            <w:pPr>
              <w:spacing w:line="259" w:lineRule="auto"/>
            </w:pPr>
            <w:proofErr w:type="gramStart"/>
            <w:r>
              <w:t>2020;18:231</w:t>
            </w:r>
            <w:proofErr w:type="gramEnd"/>
            <w:r>
              <w:t>–6. https://doi.org/10.1016/j.jtos.2019.11.008.</w:t>
            </w:r>
          </w:p>
        </w:tc>
      </w:tr>
      <w:tr w:rsidR="00DF5C55" w:rsidRPr="008A7C90" w14:paraId="71EB988F" w14:textId="77777777" w:rsidTr="001A1B6C">
        <w:trPr>
          <w:trHeight w:val="262"/>
        </w:trPr>
        <w:tc>
          <w:tcPr>
            <w:tcW w:w="1975" w:type="dxa"/>
          </w:tcPr>
          <w:p w14:paraId="3651E11C" w14:textId="77777777" w:rsidR="00DF5C55" w:rsidRPr="008A7C90" w:rsidRDefault="00DF5C55" w:rsidP="001A1B6C">
            <w:pPr>
              <w:spacing w:line="259" w:lineRule="auto"/>
            </w:pPr>
            <w:r w:rsidRPr="008A7C90">
              <w:t>Target Population</w:t>
            </w:r>
          </w:p>
        </w:tc>
        <w:tc>
          <w:tcPr>
            <w:tcW w:w="8730" w:type="dxa"/>
          </w:tcPr>
          <w:p w14:paraId="7E35D2F9" w14:textId="77777777" w:rsidR="00DF5C55" w:rsidRPr="008A7C90" w:rsidRDefault="00DF5C55" w:rsidP="001A1B6C">
            <w:pPr>
              <w:spacing w:line="259" w:lineRule="auto"/>
            </w:pPr>
            <w:r w:rsidRPr="009230C7">
              <w:t>KPNC members of all ages with a diagnosis of neurotrophic keratopathy recorded using the ICD10 (H16.23X), 10/1/16 – 5/31/2021.</w:t>
            </w:r>
          </w:p>
        </w:tc>
      </w:tr>
      <w:tr w:rsidR="00DF5C55" w:rsidRPr="008A7C90" w14:paraId="17D6CD10" w14:textId="77777777" w:rsidTr="001A1B6C">
        <w:trPr>
          <w:trHeight w:val="276"/>
        </w:trPr>
        <w:tc>
          <w:tcPr>
            <w:tcW w:w="1975" w:type="dxa"/>
          </w:tcPr>
          <w:p w14:paraId="76489AC2" w14:textId="77777777" w:rsidR="00DF5C55" w:rsidRPr="008A7C90" w:rsidRDefault="00DF5C55" w:rsidP="001A1B6C">
            <w:pPr>
              <w:spacing w:line="259" w:lineRule="auto"/>
            </w:pPr>
            <w:r w:rsidRPr="008A7C90">
              <w:t>Intervention or Exposure</w:t>
            </w:r>
          </w:p>
        </w:tc>
        <w:tc>
          <w:tcPr>
            <w:tcW w:w="8730" w:type="dxa"/>
          </w:tcPr>
          <w:p w14:paraId="5A660B92" w14:textId="77777777" w:rsidR="00DF5C55" w:rsidRPr="008A7C90" w:rsidRDefault="00DF5C55" w:rsidP="001A1B6C">
            <w:pPr>
              <w:spacing w:line="259" w:lineRule="auto"/>
            </w:pPr>
            <w:r w:rsidRPr="009230C7">
              <w:t>Time since diagnosis and comorbidities</w:t>
            </w:r>
          </w:p>
        </w:tc>
      </w:tr>
      <w:tr w:rsidR="00DF5C55" w:rsidRPr="008A7C90" w14:paraId="1B59D8E8" w14:textId="77777777" w:rsidTr="001A1B6C">
        <w:trPr>
          <w:trHeight w:val="1577"/>
        </w:trPr>
        <w:tc>
          <w:tcPr>
            <w:tcW w:w="1975" w:type="dxa"/>
          </w:tcPr>
          <w:p w14:paraId="26859D4E" w14:textId="77777777" w:rsidR="00DF5C55" w:rsidRPr="00EF635D" w:rsidRDefault="00DF5C55" w:rsidP="001A1B6C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Outcomes/Key Findings</w:t>
            </w:r>
          </w:p>
        </w:tc>
        <w:tc>
          <w:tcPr>
            <w:tcW w:w="8730" w:type="dxa"/>
          </w:tcPr>
          <w:p w14:paraId="6EF07F8B" w14:textId="77777777" w:rsidR="00DF5C55" w:rsidRPr="00A671FD" w:rsidRDefault="00DF5C55" w:rsidP="001A1B6C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A671FD">
              <w:rPr>
                <w:b/>
                <w:bCs/>
              </w:rPr>
              <w:t>ommon etiologies</w:t>
            </w:r>
            <w:r>
              <w:rPr>
                <w:b/>
                <w:bCs/>
              </w:rPr>
              <w:t xml:space="preserve"> for this condition are</w:t>
            </w:r>
            <w:r w:rsidRPr="00A671FD">
              <w:rPr>
                <w:b/>
                <w:bCs/>
              </w:rPr>
              <w:t xml:space="preserve"> herpetic infection diabetes</w:t>
            </w:r>
            <w:r>
              <w:rPr>
                <w:b/>
                <w:bCs/>
              </w:rPr>
              <w:t xml:space="preserve">, </w:t>
            </w:r>
            <w:r w:rsidRPr="00A671FD">
              <w:rPr>
                <w:b/>
                <w:bCs/>
              </w:rPr>
              <w:t>ocular surgery</w:t>
            </w:r>
            <w:r>
              <w:rPr>
                <w:b/>
                <w:bCs/>
              </w:rPr>
              <w:t>,</w:t>
            </w:r>
            <w:r w:rsidRPr="00A671F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and </w:t>
            </w:r>
            <w:r w:rsidRPr="00A671FD">
              <w:rPr>
                <w:b/>
                <w:bCs/>
              </w:rPr>
              <w:t>central nervous system etiologies</w:t>
            </w:r>
            <w:r>
              <w:rPr>
                <w:b/>
                <w:bCs/>
              </w:rPr>
              <w:t>.</w:t>
            </w:r>
            <w:r w:rsidRPr="00A671F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</w:t>
            </w:r>
            <w:r w:rsidRPr="00A671FD">
              <w:rPr>
                <w:b/>
                <w:bCs/>
              </w:rPr>
              <w:t>ommon treatment modalities</w:t>
            </w:r>
            <w:r>
              <w:rPr>
                <w:b/>
                <w:bCs/>
              </w:rPr>
              <w:t xml:space="preserve"> are</w:t>
            </w:r>
            <w:r w:rsidRPr="00A671FD">
              <w:rPr>
                <w:b/>
                <w:bCs/>
              </w:rPr>
              <w:t xml:space="preserve"> topical antibiotics</w:t>
            </w:r>
            <w:r>
              <w:rPr>
                <w:b/>
                <w:bCs/>
              </w:rPr>
              <w:t>,</w:t>
            </w:r>
            <w:r w:rsidRPr="00A671FD">
              <w:rPr>
                <w:b/>
                <w:bCs/>
              </w:rPr>
              <w:t xml:space="preserve"> steroids</w:t>
            </w:r>
            <w:r>
              <w:rPr>
                <w:b/>
                <w:bCs/>
              </w:rPr>
              <w:t>,</w:t>
            </w:r>
            <w:r w:rsidRPr="00A671FD">
              <w:rPr>
                <w:b/>
                <w:bCs/>
              </w:rPr>
              <w:t xml:space="preserve"> autologous serum tears</w:t>
            </w:r>
            <w:r>
              <w:rPr>
                <w:b/>
                <w:bCs/>
              </w:rPr>
              <w:t>, and</w:t>
            </w:r>
            <w:r w:rsidRPr="00A671FD">
              <w:rPr>
                <w:b/>
                <w:bCs/>
              </w:rPr>
              <w:t xml:space="preserve"> oral antivirals</w:t>
            </w:r>
            <w:r>
              <w:rPr>
                <w:b/>
                <w:bCs/>
              </w:rPr>
              <w:t>.</w:t>
            </w:r>
            <w:r w:rsidRPr="00A671F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We have found s</w:t>
            </w:r>
            <w:r w:rsidRPr="00A671FD">
              <w:rPr>
                <w:b/>
                <w:bCs/>
              </w:rPr>
              <w:t>erious complications</w:t>
            </w:r>
            <w:r>
              <w:rPr>
                <w:b/>
                <w:bCs/>
              </w:rPr>
              <w:t xml:space="preserve"> include e</w:t>
            </w:r>
            <w:r w:rsidRPr="00A671FD">
              <w:rPr>
                <w:b/>
                <w:bCs/>
              </w:rPr>
              <w:t xml:space="preserve">yes with perforation, endophthalmitis, and evisceration/enucleations (loss of the eye). </w:t>
            </w:r>
            <w:r>
              <w:rPr>
                <w:b/>
                <w:bCs/>
              </w:rPr>
              <w:t>The</w:t>
            </w:r>
            <w:r w:rsidRPr="00A671FD">
              <w:rPr>
                <w:b/>
                <w:bCs/>
              </w:rPr>
              <w:t xml:space="preserve"> affected eye </w:t>
            </w:r>
            <w:r>
              <w:rPr>
                <w:b/>
                <w:bCs/>
              </w:rPr>
              <w:t>has increased visual acuity</w:t>
            </w:r>
            <w:r w:rsidRPr="00A671FD">
              <w:rPr>
                <w:b/>
                <w:bCs/>
              </w:rPr>
              <w:t xml:space="preserve"> compared </w:t>
            </w:r>
            <w:r>
              <w:rPr>
                <w:b/>
                <w:bCs/>
              </w:rPr>
              <w:t>to</w:t>
            </w:r>
            <w:r w:rsidRPr="00A671FD">
              <w:rPr>
                <w:b/>
                <w:bCs/>
              </w:rPr>
              <w:t xml:space="preserve"> the unaffected eye</w:t>
            </w:r>
            <w:r>
              <w:rPr>
                <w:b/>
                <w:bCs/>
              </w:rPr>
              <w:t>.</w:t>
            </w:r>
            <w:r w:rsidRPr="00A671FD">
              <w:rPr>
                <w:b/>
                <w:bCs/>
              </w:rPr>
              <w:t xml:space="preserve"> </w:t>
            </w:r>
          </w:p>
        </w:tc>
      </w:tr>
      <w:tr w:rsidR="00DF5C55" w:rsidRPr="008A7C90" w14:paraId="697726C2" w14:textId="77777777" w:rsidTr="001A1B6C">
        <w:trPr>
          <w:trHeight w:val="816"/>
        </w:trPr>
        <w:tc>
          <w:tcPr>
            <w:tcW w:w="1975" w:type="dxa"/>
          </w:tcPr>
          <w:p w14:paraId="60E2F4DA" w14:textId="77777777" w:rsidR="00DF5C55" w:rsidRPr="00EF635D" w:rsidRDefault="00DF5C55" w:rsidP="001A1B6C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Resulting Action/Change</w:t>
            </w:r>
          </w:p>
        </w:tc>
        <w:tc>
          <w:tcPr>
            <w:tcW w:w="8730" w:type="dxa"/>
          </w:tcPr>
          <w:p w14:paraId="7DD82E5A" w14:textId="77777777" w:rsidR="00DF5C55" w:rsidRPr="00EF635D" w:rsidRDefault="00DF5C55" w:rsidP="001A1B6C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By establishing benchmarks, t</w:t>
            </w:r>
            <w:r w:rsidRPr="005A3846">
              <w:rPr>
                <w:b/>
                <w:bCs/>
              </w:rPr>
              <w:t>his study inform</w:t>
            </w:r>
            <w:r>
              <w:rPr>
                <w:b/>
                <w:bCs/>
              </w:rPr>
              <w:t>s</w:t>
            </w:r>
            <w:r w:rsidRPr="005A3846">
              <w:rPr>
                <w:b/>
                <w:bCs/>
              </w:rPr>
              <w:t xml:space="preserve"> the effective planning and adoption of corneal neurotization in the region</w:t>
            </w:r>
            <w:r>
              <w:rPr>
                <w:b/>
                <w:bCs/>
              </w:rPr>
              <w:t xml:space="preserve"> as a novel treatment for NK. </w:t>
            </w:r>
            <w:r w:rsidRPr="00AA52E1">
              <w:rPr>
                <w:b/>
                <w:bCs/>
              </w:rPr>
              <w:t>Future study will evaluate the efficacy and healthcare utilization of corneal neurotization</w:t>
            </w:r>
            <w:r>
              <w:rPr>
                <w:b/>
                <w:bCs/>
              </w:rPr>
              <w:t>.</w:t>
            </w:r>
          </w:p>
        </w:tc>
      </w:tr>
      <w:tr w:rsidR="00DF5C55" w:rsidRPr="008A7C90" w14:paraId="18D29323" w14:textId="77777777" w:rsidTr="001A1B6C">
        <w:trPr>
          <w:trHeight w:val="816"/>
        </w:trPr>
        <w:tc>
          <w:tcPr>
            <w:tcW w:w="1975" w:type="dxa"/>
          </w:tcPr>
          <w:p w14:paraId="1B16C841" w14:textId="77777777" w:rsidR="00DF5C55" w:rsidRPr="00EB0401" w:rsidRDefault="00DF5C55" w:rsidP="001A1B6C">
            <w:r w:rsidRPr="00EB0401">
              <w:t>Additional Recommendations</w:t>
            </w:r>
          </w:p>
        </w:tc>
        <w:tc>
          <w:tcPr>
            <w:tcW w:w="8730" w:type="dxa"/>
          </w:tcPr>
          <w:p w14:paraId="540D2F0B" w14:textId="77777777" w:rsidR="00DF5C55" w:rsidRPr="00EB0401" w:rsidRDefault="00DF5C55" w:rsidP="001A1B6C">
            <w:r w:rsidRPr="0054196B">
              <w:t>Target population</w:t>
            </w:r>
            <w:r>
              <w:t xml:space="preserve"> for corneal neurotization based on this study</w:t>
            </w:r>
            <w:r w:rsidRPr="0054196B">
              <w:t xml:space="preserve">: stage 2, 3 NK patients &lt;65, </w:t>
            </w:r>
            <w:proofErr w:type="spellStart"/>
            <w:r w:rsidRPr="0054196B">
              <w:t>Charlson</w:t>
            </w:r>
            <w:proofErr w:type="spellEnd"/>
            <w:r w:rsidRPr="0054196B">
              <w:t xml:space="preserve"> ≤1 excluding serious complications (perforation, endophthalmitis)</w:t>
            </w:r>
          </w:p>
        </w:tc>
      </w:tr>
      <w:tr w:rsidR="00DF5C55" w:rsidRPr="008A7C90" w14:paraId="0D95A6E3" w14:textId="77777777" w:rsidTr="001A1B6C">
        <w:trPr>
          <w:trHeight w:val="552"/>
        </w:trPr>
        <w:tc>
          <w:tcPr>
            <w:tcW w:w="1975" w:type="dxa"/>
          </w:tcPr>
          <w:p w14:paraId="61636CE5" w14:textId="77777777" w:rsidR="00DF5C55" w:rsidRPr="008A7C90" w:rsidRDefault="00DF5C55" w:rsidP="001A1B6C">
            <w:pPr>
              <w:spacing w:line="259" w:lineRule="auto"/>
            </w:pPr>
            <w:r w:rsidRPr="008A7C90">
              <w:t>Implementation Tools</w:t>
            </w:r>
            <w:r w:rsidRPr="008A7C90">
              <w:tab/>
            </w:r>
          </w:p>
        </w:tc>
        <w:tc>
          <w:tcPr>
            <w:tcW w:w="8730" w:type="dxa"/>
          </w:tcPr>
          <w:p w14:paraId="3E557C76" w14:textId="77777777" w:rsidR="00DF5C55" w:rsidRDefault="00DF5C55" w:rsidP="001A1B6C">
            <w:r>
              <w:t xml:space="preserve">- </w:t>
            </w:r>
            <w:r w:rsidRPr="00656669">
              <w:t>Surgical set up for regional oculoplastic surgeons who can offer corneal neurotization with cornea support</w:t>
            </w:r>
          </w:p>
          <w:p w14:paraId="70948A97" w14:textId="77777777" w:rsidR="00DF5C55" w:rsidRPr="008A7C90" w:rsidRDefault="00DF5C55" w:rsidP="001A1B6C">
            <w:pPr>
              <w:spacing w:line="259" w:lineRule="auto"/>
            </w:pPr>
            <w:r>
              <w:t xml:space="preserve">- </w:t>
            </w:r>
            <w:r w:rsidRPr="00D36CA5">
              <w:t>Cornea note template for NK to allow for automated extraction of structured data</w:t>
            </w:r>
          </w:p>
        </w:tc>
      </w:tr>
      <w:tr w:rsidR="00DF5C55" w:rsidRPr="008A7C90" w14:paraId="2A0B608C" w14:textId="77777777" w:rsidTr="001A1B6C">
        <w:trPr>
          <w:trHeight w:val="552"/>
        </w:trPr>
        <w:tc>
          <w:tcPr>
            <w:tcW w:w="1975" w:type="dxa"/>
          </w:tcPr>
          <w:p w14:paraId="413018D3" w14:textId="77777777" w:rsidR="00DF5C55" w:rsidRPr="008A7C90" w:rsidRDefault="00DF5C55" w:rsidP="001A1B6C">
            <w:pPr>
              <w:spacing w:line="259" w:lineRule="auto"/>
            </w:pPr>
            <w:r w:rsidRPr="008A7C90">
              <w:t>Implementation Measurement</w:t>
            </w:r>
          </w:p>
        </w:tc>
        <w:tc>
          <w:tcPr>
            <w:tcW w:w="8730" w:type="dxa"/>
          </w:tcPr>
          <w:p w14:paraId="6D351FA1" w14:textId="77777777" w:rsidR="00DF5C55" w:rsidRPr="008A7C90" w:rsidRDefault="00DF5C55" w:rsidP="001A1B6C">
            <w:pPr>
              <w:spacing w:line="259" w:lineRule="auto"/>
            </w:pPr>
            <w:r w:rsidRPr="00D944CD">
              <w:t>Effectiveness</w:t>
            </w:r>
            <w:r>
              <w:t xml:space="preserve"> measurement</w:t>
            </w:r>
            <w:r w:rsidRPr="00D944CD">
              <w:t>: clinical outcome</w:t>
            </w:r>
            <w:r>
              <w:t>s (such as serious complications, change in visual acuity) and</w:t>
            </w:r>
            <w:r w:rsidRPr="00D944CD">
              <w:t xml:space="preserve"> healthcare utilization of NK treated with corneal neurotization</w:t>
            </w:r>
          </w:p>
        </w:tc>
      </w:tr>
      <w:tr w:rsidR="00DF5C55" w:rsidRPr="008A7C90" w14:paraId="68ECB76E" w14:textId="77777777" w:rsidTr="001A1B6C">
        <w:trPr>
          <w:trHeight w:val="538"/>
        </w:trPr>
        <w:tc>
          <w:tcPr>
            <w:tcW w:w="1975" w:type="dxa"/>
          </w:tcPr>
          <w:p w14:paraId="1183947B" w14:textId="77777777" w:rsidR="00DF5C55" w:rsidRPr="008A7C90" w:rsidRDefault="00DF5C55" w:rsidP="001A1B6C">
            <w:pPr>
              <w:spacing w:line="259" w:lineRule="auto"/>
            </w:pPr>
            <w:r w:rsidRPr="008A7C90">
              <w:t>Reference</w:t>
            </w:r>
          </w:p>
        </w:tc>
        <w:tc>
          <w:tcPr>
            <w:tcW w:w="8730" w:type="dxa"/>
          </w:tcPr>
          <w:p w14:paraId="7FE4004E" w14:textId="272919B0" w:rsidR="00DF5C55" w:rsidRPr="008A7C90" w:rsidRDefault="00075942" w:rsidP="001A1B6C">
            <w:pPr>
              <w:rPr>
                <w:noProof/>
              </w:rPr>
            </w:pPr>
            <w:hyperlink w:history="1"/>
            <w:r w:rsidR="00DF5C55">
              <w:rPr>
                <w:noProof/>
              </w:rPr>
              <w:t xml:space="preserve"> MSS submitted to Ocul Surf</w:t>
            </w:r>
          </w:p>
        </w:tc>
      </w:tr>
      <w:bookmarkEnd w:id="0"/>
    </w:tbl>
    <w:p w14:paraId="62800767" w14:textId="77777777" w:rsidR="00FE6194" w:rsidRDefault="00FE6194" w:rsidP="00654C3C">
      <w:pPr>
        <w:spacing w:after="0"/>
      </w:pPr>
    </w:p>
    <w:sectPr w:rsidR="00FE6194" w:rsidSect="00D24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AppleSystemUIFon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18BF"/>
    <w:multiLevelType w:val="hybridMultilevel"/>
    <w:tmpl w:val="2772967C"/>
    <w:lvl w:ilvl="0" w:tplc="C10444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CCAA478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57B66AE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03E0279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2122599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994C95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F66293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1A4073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CCAEA8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" w15:restartNumberingAfterBreak="0">
    <w:nsid w:val="2BC0173E"/>
    <w:multiLevelType w:val="hybridMultilevel"/>
    <w:tmpl w:val="4ECC697C"/>
    <w:lvl w:ilvl="0" w:tplc="A628F8B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30F93"/>
    <w:multiLevelType w:val="hybridMultilevel"/>
    <w:tmpl w:val="6CDC9D66"/>
    <w:lvl w:ilvl="0" w:tplc="C1569B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35507"/>
    <w:multiLevelType w:val="hybridMultilevel"/>
    <w:tmpl w:val="6990110E"/>
    <w:lvl w:ilvl="0" w:tplc="CB3C659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75942"/>
    <w:rsid w:val="000811DB"/>
    <w:rsid w:val="001A1B6C"/>
    <w:rsid w:val="001D52BB"/>
    <w:rsid w:val="001E348B"/>
    <w:rsid w:val="002A1A00"/>
    <w:rsid w:val="0031051B"/>
    <w:rsid w:val="003D755D"/>
    <w:rsid w:val="003E27D1"/>
    <w:rsid w:val="003E34C5"/>
    <w:rsid w:val="0048655A"/>
    <w:rsid w:val="00514319"/>
    <w:rsid w:val="0054196B"/>
    <w:rsid w:val="005A3846"/>
    <w:rsid w:val="00654C3C"/>
    <w:rsid w:val="00656669"/>
    <w:rsid w:val="00691F29"/>
    <w:rsid w:val="006D32D2"/>
    <w:rsid w:val="0072563B"/>
    <w:rsid w:val="00777238"/>
    <w:rsid w:val="007F579F"/>
    <w:rsid w:val="008131C8"/>
    <w:rsid w:val="008A7C90"/>
    <w:rsid w:val="009001F2"/>
    <w:rsid w:val="009230C7"/>
    <w:rsid w:val="00933309"/>
    <w:rsid w:val="009969DB"/>
    <w:rsid w:val="00A16BB1"/>
    <w:rsid w:val="00A61965"/>
    <w:rsid w:val="00A671FD"/>
    <w:rsid w:val="00AA146B"/>
    <w:rsid w:val="00AA52E1"/>
    <w:rsid w:val="00AC5B26"/>
    <w:rsid w:val="00BB0685"/>
    <w:rsid w:val="00C3487D"/>
    <w:rsid w:val="00C4025A"/>
    <w:rsid w:val="00C73A94"/>
    <w:rsid w:val="00CB0455"/>
    <w:rsid w:val="00CF212C"/>
    <w:rsid w:val="00CF4301"/>
    <w:rsid w:val="00D003F1"/>
    <w:rsid w:val="00D24534"/>
    <w:rsid w:val="00D36CA5"/>
    <w:rsid w:val="00D944CD"/>
    <w:rsid w:val="00DD39EE"/>
    <w:rsid w:val="00DF5C55"/>
    <w:rsid w:val="00EB0401"/>
    <w:rsid w:val="00ED7A8E"/>
    <w:rsid w:val="00EF635D"/>
    <w:rsid w:val="00FE6194"/>
    <w:rsid w:val="0B4BE6C0"/>
    <w:rsid w:val="1A557A28"/>
    <w:rsid w:val="30BD5087"/>
    <w:rsid w:val="4E5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61965"/>
    <w:pPr>
      <w:widowControl w:val="0"/>
      <w:spacing w:after="0" w:line="240" w:lineRule="auto"/>
    </w:pPr>
    <w:rPr>
      <w:rFonts w:ascii="Calibri" w:eastAsia="Batang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67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8825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6948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7390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2992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183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6812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291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888A28-5B10-48BE-B8D6-480C75C53C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F44F3B-8A04-42CE-8A1C-3A59F4AFFD88}"/>
</file>

<file path=customXml/itemProps3.xml><?xml version="1.0" encoding="utf-8"?>
<ds:datastoreItem xmlns:ds="http://schemas.openxmlformats.org/officeDocument/2006/customXml" ds:itemID="{422B8E45-4B7B-44CA-883D-6EABF409C33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f8a7bc4-e337-47a5-a0fc-0d512c0e05f1}" enabled="0" method="" siteId="{3f8a7bc4-e337-47a5-a0fc-0d512c0e05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386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Cimone E Parker</cp:lastModifiedBy>
  <cp:revision>2</cp:revision>
  <dcterms:created xsi:type="dcterms:W3CDTF">2023-01-10T22:32:00Z</dcterms:created>
  <dcterms:modified xsi:type="dcterms:W3CDTF">2023-01-10T22:32:00Z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