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1A557A28" w:rsidP="4E551E08" w:rsidRDefault="006B65C2" w14:paraId="122812DC" w14:textId="5223298A">
      <w:pPr>
        <w:rPr>
          <w:rFonts w:ascii="Calibri" w:hAnsi="Calibri" w:eastAsia="Calibri" w:cs="Calibri"/>
          <w:color w:val="4472C4" w:themeColor="accent1"/>
          <w:sz w:val="28"/>
          <w:szCs w:val="28"/>
        </w:rPr>
      </w:pPr>
      <w:bookmarkStart w:name="_GoBack" w:id="0"/>
      <w:bookmarkEnd w:id="0"/>
      <w:r>
        <w:rPr>
          <w:rFonts w:ascii="Calibri" w:hAnsi="Calibri" w:eastAsia="Calibri" w:cs="Calibri"/>
          <w:color w:val="4472C4" w:themeColor="accent1"/>
          <w:sz w:val="28"/>
          <w:szCs w:val="28"/>
        </w:rPr>
        <w:t>Adhering to cardiovascular risk reduction guidelines decreases myocardial injury after noncardiac surgery</w:t>
      </w:r>
      <w:r w:rsidR="00C73A94">
        <w:rPr>
          <w:rFonts w:ascii="Calibri" w:hAnsi="Calibri" w:eastAsia="Calibri" w:cs="Calibri"/>
          <w:color w:val="4472C4" w:themeColor="accent1"/>
          <w:sz w:val="28"/>
          <w:szCs w:val="28"/>
        </w:rPr>
        <w:t xml:space="preserve"> </w:t>
      </w:r>
    </w:p>
    <w:p w:rsidR="008A7C90" w:rsidP="00D24534" w:rsidRDefault="006B65C2" w14:paraId="7FCD574A" w14:textId="38ABF7D8">
      <w:pPr>
        <w:spacing w:after="0"/>
      </w:pPr>
      <w:r w:rsidRPr="006B65C2">
        <w:t>Edward Yap</w:t>
      </w:r>
      <w:r>
        <w:t>, MD</w:t>
      </w:r>
      <w:r w:rsidRPr="006B65C2">
        <w:t>, Jennifer Dusendang</w:t>
      </w:r>
      <w:r>
        <w:t xml:space="preserve">, MPH, </w:t>
      </w:r>
      <w:proofErr w:type="spellStart"/>
      <w:r w:rsidRPr="006B65C2">
        <w:t>Hermant</w:t>
      </w:r>
      <w:proofErr w:type="spellEnd"/>
      <w:r w:rsidRPr="006B65C2">
        <w:t xml:space="preserve"> </w:t>
      </w:r>
      <w:proofErr w:type="spellStart"/>
      <w:r w:rsidRPr="006B65C2">
        <w:t>Keny</w:t>
      </w:r>
      <w:proofErr w:type="spellEnd"/>
      <w:r>
        <w:t>, MD</w:t>
      </w:r>
      <w:r w:rsidRPr="006B65C2">
        <w:t>, Kevin N. Ng</w:t>
      </w:r>
      <w:r>
        <w:t>, MD, MA,</w:t>
      </w:r>
      <w:r w:rsidRPr="006B65C2">
        <w:t xml:space="preserve"> Matthew Solomon</w:t>
      </w:r>
      <w:r>
        <w:t>, MD, PhD</w:t>
      </w:r>
      <w:r w:rsidRPr="006B65C2">
        <w:t>, Lisa J Herrinton</w:t>
      </w:r>
      <w:r>
        <w:t>, PhD</w:t>
      </w:r>
    </w:p>
    <w:tbl>
      <w:tblPr>
        <w:tblStyle w:val="TableGrid"/>
        <w:tblpPr w:leftFromText="180" w:rightFromText="180" w:vertAnchor="page" w:horzAnchor="margin" w:tblpY="2581"/>
        <w:tblW w:w="10705" w:type="dxa"/>
        <w:tblLook w:val="04A0" w:firstRow="1" w:lastRow="0" w:firstColumn="1" w:lastColumn="0" w:noHBand="0" w:noVBand="1"/>
      </w:tblPr>
      <w:tblGrid>
        <w:gridCol w:w="1975"/>
        <w:gridCol w:w="8730"/>
      </w:tblGrid>
      <w:tr w:rsidRPr="008A7C90" w:rsidR="0048655A" w:rsidTr="162B32BB" w14:paraId="307289BF" w14:textId="77777777">
        <w:trPr>
          <w:trHeight w:val="816"/>
        </w:trPr>
        <w:tc>
          <w:tcPr>
            <w:tcW w:w="1975" w:type="dxa"/>
            <w:tcMar/>
          </w:tcPr>
          <w:p w:rsidRPr="008A7C90" w:rsidR="0048655A" w:rsidP="0048655A" w:rsidRDefault="0048655A" w14:paraId="2C7E2D09" w14:textId="77777777">
            <w:pPr>
              <w:spacing w:line="259" w:lineRule="auto"/>
            </w:pPr>
            <w:bookmarkStart w:name="_Hlk54105970" w:id="1"/>
            <w:r w:rsidRPr="008A7C90">
              <w:t>Challenge</w:t>
            </w:r>
          </w:p>
        </w:tc>
        <w:tc>
          <w:tcPr>
            <w:tcW w:w="8730" w:type="dxa"/>
            <w:tcMar/>
          </w:tcPr>
          <w:p w:rsidRPr="0031051B" w:rsidR="0048655A" w:rsidP="0048655A" w:rsidRDefault="006B65C2" w14:paraId="7F9273D4" w14:textId="7C6483E5">
            <w:pPr>
              <w:spacing w:line="259" w:lineRule="auto"/>
              <w:rPr>
                <w:b/>
                <w:bCs/>
              </w:rPr>
            </w:pPr>
            <w:r>
              <w:rPr>
                <w:b/>
                <w:bCs/>
              </w:rPr>
              <w:t>Myocardial injury after noncardiac surgery (MINS) is associated with increased postoperative mortality</w:t>
            </w:r>
            <w:r w:rsidR="00191053">
              <w:rPr>
                <w:b/>
                <w:bCs/>
              </w:rPr>
              <w:t>, and in recent years r</w:t>
            </w:r>
            <w:r>
              <w:rPr>
                <w:b/>
                <w:bCs/>
              </w:rPr>
              <w:t xml:space="preserve">isk of MINS across Kaiser Permanente </w:t>
            </w:r>
            <w:r w:rsidR="00191053">
              <w:rPr>
                <w:b/>
                <w:bCs/>
              </w:rPr>
              <w:t>was</w:t>
            </w:r>
            <w:r>
              <w:rPr>
                <w:b/>
                <w:bCs/>
              </w:rPr>
              <w:t xml:space="preserve"> higher than national averages</w:t>
            </w:r>
            <w:r w:rsidR="00191053">
              <w:rPr>
                <w:b/>
                <w:bCs/>
              </w:rPr>
              <w:t>. Adherence to guidelines for cardiac risk reduction is unknown among different centers and if that is associated with higher risk of MINS.</w:t>
            </w:r>
          </w:p>
        </w:tc>
      </w:tr>
      <w:tr w:rsidRPr="008A7C90" w:rsidR="0048655A" w:rsidTr="162B32BB" w14:paraId="67D435C8" w14:textId="77777777">
        <w:trPr>
          <w:trHeight w:val="1091"/>
        </w:trPr>
        <w:tc>
          <w:tcPr>
            <w:tcW w:w="1975" w:type="dxa"/>
            <w:tcMar/>
          </w:tcPr>
          <w:p w:rsidRPr="008A7C90" w:rsidR="0048655A" w:rsidP="0048655A" w:rsidRDefault="0048655A" w14:paraId="351B366F" w14:textId="77777777">
            <w:pPr>
              <w:spacing w:line="259" w:lineRule="auto"/>
            </w:pPr>
            <w:r w:rsidRPr="008A7C90">
              <w:t>Existing Evidence</w:t>
            </w:r>
          </w:p>
        </w:tc>
        <w:tc>
          <w:tcPr>
            <w:tcW w:w="8730" w:type="dxa"/>
            <w:tcMar/>
          </w:tcPr>
          <w:p w:rsidRPr="00F97C1A" w:rsidR="0048655A" w:rsidP="162B32BB" w:rsidRDefault="00191053" w14:paraId="70041630" w14:textId="1D731112">
            <w:pPr>
              <w:spacing w:line="259" w:lineRule="auto"/>
              <w:rPr>
                <w:rFonts w:eastAsia="Calibri" w:cs="Calibri" w:cstheme="minorAscii"/>
                <w:color w:val="000000" w:themeColor="text1"/>
              </w:rPr>
            </w:pPr>
            <w:r w:rsidRPr="162B32BB" w:rsidR="1A662101">
              <w:rPr>
                <w:rFonts w:eastAsia="Calibri" w:cs="Calibri" w:cstheme="minorAscii"/>
                <w:color w:val="000000" w:themeColor="text1" w:themeTint="FF" w:themeShade="FF"/>
              </w:rPr>
              <w:t>G</w:t>
            </w:r>
            <w:r w:rsidRPr="162B32BB" w:rsidR="00F97C1A">
              <w:rPr>
                <w:rFonts w:eastAsia="Calibri" w:cs="Calibri" w:cstheme="minorAscii"/>
                <w:color w:val="000000" w:themeColor="text1" w:themeTint="FF" w:themeShade="FF"/>
              </w:rPr>
              <w:t xml:space="preserve">uidelines </w:t>
            </w:r>
            <w:r w:rsidRPr="162B32BB" w:rsidR="41E90D76">
              <w:rPr>
                <w:rFonts w:eastAsia="Calibri" w:cs="Calibri" w:cstheme="minorAscii"/>
                <w:color w:val="000000" w:themeColor="text1" w:themeTint="FF" w:themeShade="FF"/>
              </w:rPr>
              <w:t xml:space="preserve">exist </w:t>
            </w:r>
            <w:r w:rsidRPr="162B32BB" w:rsidR="00F97C1A">
              <w:rPr>
                <w:rFonts w:eastAsia="Calibri" w:cs="Calibri" w:cstheme="minorAscii"/>
                <w:color w:val="000000" w:themeColor="text1" w:themeTint="FF" w:themeShade="FF"/>
              </w:rPr>
              <w:t>for cardiac risk reduction among patients undergoing noncardiac surgery</w:t>
            </w:r>
            <w:r w:rsidRPr="162B32BB" w:rsidR="0077773D">
              <w:rPr>
                <w:rFonts w:eastAsia="Calibri" w:cs="Calibri" w:cstheme="minorAscii"/>
                <w:color w:val="000000" w:themeColor="text1" w:themeTint="FF" w:themeShade="FF"/>
              </w:rPr>
              <w:t>, a</w:t>
            </w:r>
            <w:r w:rsidRPr="162B32BB" w:rsidR="6371AD9E">
              <w:rPr>
                <w:rFonts w:eastAsia="Calibri" w:cs="Calibri" w:cstheme="minorAscii"/>
                <w:color w:val="000000" w:themeColor="text1" w:themeTint="FF" w:themeShade="FF"/>
              </w:rPr>
              <w:t xml:space="preserve">s well as some research </w:t>
            </w:r>
            <w:proofErr w:type="spellStart"/>
            <w:r w:rsidRPr="162B32BB" w:rsidR="0077773D">
              <w:rPr>
                <w:rFonts w:eastAsia="Calibri" w:cs="Calibri" w:cstheme="minorAscii"/>
                <w:color w:val="000000" w:themeColor="text1" w:themeTint="FF" w:themeShade="FF"/>
              </w:rPr>
              <w:t>research</w:t>
            </w:r>
            <w:proofErr w:type="spellEnd"/>
            <w:r w:rsidRPr="162B32BB" w:rsidR="0077773D">
              <w:rPr>
                <w:rFonts w:eastAsia="Calibri" w:cs="Calibri" w:cstheme="minorAscii"/>
                <w:color w:val="000000" w:themeColor="text1" w:themeTint="FF" w:themeShade="FF"/>
              </w:rPr>
              <w:t xml:space="preserve"> on the effectiveness of these guidelines</w:t>
            </w:r>
            <w:r w:rsidRPr="162B32BB" w:rsidR="2E6DCA24">
              <w:rPr>
                <w:rFonts w:eastAsia="Calibri" w:cs="Calibri" w:cstheme="minorAscii"/>
                <w:color w:val="000000" w:themeColor="text1" w:themeTint="FF" w:themeShade="FF"/>
              </w:rPr>
              <w:t>; h</w:t>
            </w:r>
            <w:r w:rsidRPr="162B32BB" w:rsidR="0077773D">
              <w:rPr>
                <w:rFonts w:eastAsia="Calibri" w:cs="Calibri" w:cstheme="minorAscii"/>
                <w:color w:val="000000" w:themeColor="text1" w:themeTint="FF" w:themeShade="FF"/>
              </w:rPr>
              <w:t xml:space="preserve">owever, </w:t>
            </w:r>
            <w:r w:rsidRPr="162B32BB" w:rsidR="7D3195AD">
              <w:rPr>
                <w:rFonts w:eastAsia="Calibri" w:cs="Calibri" w:cstheme="minorAscii"/>
                <w:color w:val="000000" w:themeColor="text1" w:themeTint="FF" w:themeShade="FF"/>
              </w:rPr>
              <w:t>no</w:t>
            </w:r>
            <w:r w:rsidRPr="162B32BB" w:rsidR="0077773D">
              <w:rPr>
                <w:rFonts w:eastAsia="Calibri" w:cs="Calibri" w:cstheme="minorAscii"/>
                <w:color w:val="000000" w:themeColor="text1" w:themeTint="FF" w:themeShade="FF"/>
              </w:rPr>
              <w:t xml:space="preserve"> study has examined </w:t>
            </w:r>
            <w:r w:rsidRPr="162B32BB" w:rsidR="3763F315">
              <w:rPr>
                <w:rFonts w:eastAsia="Calibri" w:cs="Calibri" w:cstheme="minorAscii"/>
                <w:color w:val="000000" w:themeColor="text1" w:themeTint="FF" w:themeShade="FF"/>
              </w:rPr>
              <w:t xml:space="preserve">the commonly used </w:t>
            </w:r>
            <w:r w:rsidRPr="162B32BB" w:rsidR="0077773D">
              <w:rPr>
                <w:rFonts w:eastAsia="Calibri" w:cs="Calibri" w:cstheme="minorAscii"/>
                <w:color w:val="000000" w:themeColor="text1" w:themeTint="FF" w:themeShade="FF"/>
              </w:rPr>
              <w:t>American College of Cardiology</w:t>
            </w:r>
            <w:r w:rsidRPr="162B32BB" w:rsidR="009B385E">
              <w:rPr>
                <w:rFonts w:eastAsia="Calibri" w:cs="Calibri" w:cstheme="minorAscii"/>
                <w:color w:val="000000" w:themeColor="text1" w:themeTint="FF" w:themeShade="FF"/>
              </w:rPr>
              <w:t xml:space="preserve"> (ACC)</w:t>
            </w:r>
            <w:r w:rsidRPr="162B32BB" w:rsidR="0077773D">
              <w:rPr>
                <w:rFonts w:eastAsia="Calibri" w:cs="Calibri" w:cstheme="minorAscii"/>
                <w:color w:val="000000" w:themeColor="text1" w:themeTint="FF" w:themeShade="FF"/>
              </w:rPr>
              <w:t>/American Heart Association</w:t>
            </w:r>
            <w:r w:rsidRPr="162B32BB" w:rsidR="009B385E">
              <w:rPr>
                <w:rFonts w:eastAsia="Calibri" w:cs="Calibri" w:cstheme="minorAscii"/>
                <w:color w:val="000000" w:themeColor="text1" w:themeTint="FF" w:themeShade="FF"/>
              </w:rPr>
              <w:t xml:space="preserve"> (AHA)</w:t>
            </w:r>
            <w:r w:rsidRPr="162B32BB" w:rsidR="0077773D">
              <w:rPr>
                <w:rFonts w:eastAsia="Calibri" w:cs="Calibri" w:cstheme="minorAscii"/>
                <w:color w:val="000000" w:themeColor="text1" w:themeTint="FF" w:themeShade="FF"/>
              </w:rPr>
              <w:t xml:space="preserve"> guidelines for reducing cardiac risk after noncardiac surgery.</w:t>
            </w:r>
            <w:r w:rsidRPr="162B32BB" w:rsidR="00F97C1A">
              <w:rPr>
                <w:rFonts w:eastAsia="Calibri" w:cs="Calibri" w:cstheme="minorAscii"/>
                <w:color w:val="000000" w:themeColor="text1" w:themeTint="FF" w:themeShade="FF"/>
              </w:rPr>
              <w:t xml:space="preserve"> </w:t>
            </w:r>
          </w:p>
        </w:tc>
      </w:tr>
      <w:tr w:rsidRPr="008A7C90" w:rsidR="0048655A" w:rsidTr="162B32BB" w14:paraId="136E6453" w14:textId="77777777">
        <w:trPr>
          <w:trHeight w:val="262"/>
        </w:trPr>
        <w:tc>
          <w:tcPr>
            <w:tcW w:w="1975" w:type="dxa"/>
            <w:tcMar/>
          </w:tcPr>
          <w:p w:rsidRPr="008A7C90" w:rsidR="0048655A" w:rsidP="0048655A" w:rsidRDefault="0048655A" w14:paraId="53202DB8" w14:textId="77777777">
            <w:pPr>
              <w:spacing w:line="259" w:lineRule="auto"/>
            </w:pPr>
            <w:r w:rsidRPr="008A7C90">
              <w:t>Target Population</w:t>
            </w:r>
          </w:p>
        </w:tc>
        <w:tc>
          <w:tcPr>
            <w:tcW w:w="8730" w:type="dxa"/>
            <w:tcMar/>
          </w:tcPr>
          <w:p w:rsidRPr="008A7C90" w:rsidR="0048655A" w:rsidP="0048655A" w:rsidRDefault="0077773D" w14:paraId="1486D38C" w14:textId="3B00B575">
            <w:pPr>
              <w:spacing w:line="259" w:lineRule="auto"/>
            </w:pPr>
            <w:r>
              <w:t>A</w:t>
            </w:r>
            <w:r w:rsidRPr="0077773D">
              <w:t>dult patients, aged ≥45, scheduled for 10 common, elective, non-cardiac surgeries who received a perioperative medicine visit, 2016-2018.</w:t>
            </w:r>
          </w:p>
        </w:tc>
      </w:tr>
      <w:tr w:rsidRPr="008A7C90" w:rsidR="0048655A" w:rsidTr="162B32BB" w14:paraId="5B80BED5" w14:textId="77777777">
        <w:trPr>
          <w:trHeight w:val="276"/>
        </w:trPr>
        <w:tc>
          <w:tcPr>
            <w:tcW w:w="1975" w:type="dxa"/>
            <w:tcMar/>
          </w:tcPr>
          <w:p w:rsidRPr="008A7C90" w:rsidR="0048655A" w:rsidP="0048655A" w:rsidRDefault="0048655A" w14:paraId="0D0B7C0D" w14:textId="77777777">
            <w:pPr>
              <w:spacing w:line="259" w:lineRule="auto"/>
            </w:pPr>
            <w:r w:rsidRPr="008A7C90">
              <w:t>Intervention or Exposure</w:t>
            </w:r>
          </w:p>
        </w:tc>
        <w:tc>
          <w:tcPr>
            <w:tcW w:w="8730" w:type="dxa"/>
            <w:tcMar/>
          </w:tcPr>
          <w:p w:rsidRPr="008A7C90" w:rsidR="0048655A" w:rsidP="0048655A" w:rsidRDefault="0077773D" w14:paraId="0CA2C589" w14:textId="10668DD3">
            <w:pPr>
              <w:spacing w:line="259" w:lineRule="auto"/>
            </w:pPr>
            <w:r>
              <w:t>Exposure is the adherence to 4 clinical practice guidelines</w:t>
            </w:r>
          </w:p>
        </w:tc>
      </w:tr>
      <w:tr w:rsidRPr="008A7C90" w:rsidR="0048655A" w:rsidTr="162B32BB" w14:paraId="13978FD3" w14:textId="77777777">
        <w:trPr>
          <w:trHeight w:val="2282"/>
        </w:trPr>
        <w:tc>
          <w:tcPr>
            <w:tcW w:w="1975" w:type="dxa"/>
            <w:tcMar/>
          </w:tcPr>
          <w:p w:rsidRPr="00EF635D" w:rsidR="0048655A" w:rsidP="0048655A" w:rsidRDefault="0048655A" w14:paraId="7525D5B4" w14:textId="77777777">
            <w:pPr>
              <w:spacing w:line="259" w:lineRule="auto"/>
              <w:rPr>
                <w:b/>
                <w:bCs/>
              </w:rPr>
            </w:pPr>
            <w:r w:rsidRPr="00EF635D">
              <w:rPr>
                <w:b/>
                <w:bCs/>
              </w:rPr>
              <w:t>Outcomes/Key Findings</w:t>
            </w:r>
          </w:p>
        </w:tc>
        <w:tc>
          <w:tcPr>
            <w:tcW w:w="8730" w:type="dxa"/>
            <w:tcMar/>
          </w:tcPr>
          <w:p w:rsidRPr="008A7C90" w:rsidR="0048655A" w:rsidP="0077773D" w:rsidRDefault="0077773D" w14:paraId="3CD35CB0" w14:textId="6BEF311B">
            <w:r w:rsidRPr="162B32BB" w:rsidR="0077773D">
              <w:rPr>
                <w:b w:val="1"/>
                <w:bCs w:val="1"/>
              </w:rPr>
              <w:t xml:space="preserve">The preoperative process variables </w:t>
            </w:r>
            <w:r w:rsidRPr="162B32BB" w:rsidR="0077773D">
              <w:rPr>
                <w:b w:val="1"/>
                <w:bCs w:val="1"/>
              </w:rPr>
              <w:t xml:space="preserve">(clinical practice guidelines) </w:t>
            </w:r>
            <w:r w:rsidRPr="162B32BB" w:rsidR="7A3210FF">
              <w:rPr>
                <w:b w:val="1"/>
                <w:bCs w:val="1"/>
              </w:rPr>
              <w:t xml:space="preserve">associated with improved outcomes, including </w:t>
            </w:r>
            <w:r w:rsidRPr="162B32BB" w:rsidR="0077773D">
              <w:rPr>
                <w:b w:val="1"/>
                <w:bCs w:val="1"/>
              </w:rPr>
              <w:t xml:space="preserve">initiation of beta blockers, stress testing, transthoracic echocardiogram, and delay of surgery. </w:t>
            </w:r>
            <w:r w:rsidR="0077773D">
              <w:rPr/>
              <w:t>These will be assessed during the 30 days (or less) between the perioperative medicine visit and the surgery. The postoperative clinical outcomes include 30-day rates of myocardial infarction and all-cause mortality after surgery. We will test the hypothesis that hospitals with lower adherence have worse outcomes.</w:t>
            </w:r>
            <w:r w:rsidR="0048655A">
              <w:rPr/>
              <w:t xml:space="preserve"> </w:t>
            </w:r>
          </w:p>
        </w:tc>
      </w:tr>
      <w:tr w:rsidRPr="008A7C90" w:rsidR="0048655A" w:rsidTr="162B32BB" w14:paraId="62542513" w14:textId="77777777">
        <w:trPr>
          <w:trHeight w:val="816"/>
        </w:trPr>
        <w:tc>
          <w:tcPr>
            <w:tcW w:w="1975" w:type="dxa"/>
            <w:tcMar/>
          </w:tcPr>
          <w:p w:rsidRPr="00EF635D" w:rsidR="0048655A" w:rsidP="0048655A" w:rsidRDefault="0048655A" w14:paraId="38755ADC" w14:textId="77777777">
            <w:pPr>
              <w:spacing w:line="259" w:lineRule="auto"/>
              <w:rPr>
                <w:b/>
                <w:bCs/>
              </w:rPr>
            </w:pPr>
            <w:r w:rsidRPr="00EF635D">
              <w:rPr>
                <w:b/>
                <w:bCs/>
              </w:rPr>
              <w:t>Resulting Action/Change</w:t>
            </w:r>
          </w:p>
        </w:tc>
        <w:tc>
          <w:tcPr>
            <w:tcW w:w="8730" w:type="dxa"/>
            <w:tcMar/>
          </w:tcPr>
          <w:p w:rsidRPr="00EF635D" w:rsidR="0048655A" w:rsidP="0048655A" w:rsidRDefault="0077773D" w14:paraId="092B6F29" w14:textId="47D29025">
            <w:pPr>
              <w:spacing w:line="259" w:lineRule="auto"/>
              <w:rPr>
                <w:b/>
                <w:bCs/>
              </w:rPr>
            </w:pPr>
            <w:r w:rsidRPr="0077773D">
              <w:rPr>
                <w:b/>
                <w:bCs/>
              </w:rPr>
              <w:t>The information will align decision-makers in perioperative medicine, surgery, anesthesiology, and cardiology to build support in their departments and strengthen perioperative workflows to increase adherence with clinical practice guidelines. Alternatively, the study may identify other possible reasons for variation in postoperative MI, such as inadequate risk assessment.</w:t>
            </w:r>
          </w:p>
        </w:tc>
      </w:tr>
      <w:tr w:rsidRPr="008A7C90" w:rsidR="00CB0455" w:rsidTr="162B32BB" w14:paraId="57800790" w14:textId="77777777">
        <w:trPr>
          <w:trHeight w:val="816"/>
        </w:trPr>
        <w:tc>
          <w:tcPr>
            <w:tcW w:w="1975" w:type="dxa"/>
            <w:tcMar/>
          </w:tcPr>
          <w:p w:rsidRPr="00EB0401" w:rsidR="00CB0455" w:rsidP="0048655A" w:rsidRDefault="00CB0455" w14:paraId="6C4E04AC" w14:textId="161310DB">
            <w:r w:rsidRPr="00EB0401">
              <w:t>Additional Recommendations</w:t>
            </w:r>
          </w:p>
        </w:tc>
        <w:tc>
          <w:tcPr>
            <w:tcW w:w="8730" w:type="dxa"/>
            <w:tcMar/>
          </w:tcPr>
          <w:p w:rsidRPr="00EB0401" w:rsidR="00CB0455" w:rsidP="0048655A" w:rsidRDefault="009B385E" w14:paraId="08163871" w14:textId="215F6296">
            <w:r>
              <w:t>Operational leaders can consider follow up studies assessing changes in practice or identification of other reasons of MINS.</w:t>
            </w:r>
          </w:p>
        </w:tc>
      </w:tr>
      <w:tr w:rsidRPr="008A7C90" w:rsidR="0048655A" w:rsidTr="162B32BB" w14:paraId="21F6FB6D" w14:textId="77777777">
        <w:trPr>
          <w:trHeight w:val="552"/>
        </w:trPr>
        <w:tc>
          <w:tcPr>
            <w:tcW w:w="1975" w:type="dxa"/>
            <w:tcMar/>
          </w:tcPr>
          <w:p w:rsidRPr="008A7C90" w:rsidR="0048655A" w:rsidP="0048655A" w:rsidRDefault="0048655A" w14:paraId="511F380C" w14:textId="77777777">
            <w:pPr>
              <w:spacing w:line="259" w:lineRule="auto"/>
            </w:pPr>
            <w:r w:rsidRPr="008A7C90">
              <w:t>Implementation Tools</w:t>
            </w:r>
            <w:r w:rsidRPr="008A7C90">
              <w:tab/>
            </w:r>
          </w:p>
        </w:tc>
        <w:tc>
          <w:tcPr>
            <w:tcW w:w="8730" w:type="dxa"/>
            <w:tcMar/>
          </w:tcPr>
          <w:p w:rsidRPr="008A7C90" w:rsidR="0048655A" w:rsidP="0048655A" w:rsidRDefault="009B385E" w14:paraId="35B5FEA6" w14:textId="2919D605">
            <w:pPr>
              <w:spacing w:line="259" w:lineRule="auto"/>
            </w:pPr>
            <w:r>
              <w:t>We will present our findings to the leaders of the Regional Perioperative Management Program group, Anesthesia, Cardiology, and Surgery chairs of chiefs, perioperative medicine leaders, and patient surgical safety leads. With collaboration with these key stakeholders, and if appropriate, we will then use the findings to help design a pathway for patients at the highest risk for MINS.</w:t>
            </w:r>
          </w:p>
        </w:tc>
      </w:tr>
      <w:tr w:rsidRPr="008A7C90" w:rsidR="0048655A" w:rsidTr="162B32BB" w14:paraId="02D4678D" w14:textId="77777777">
        <w:trPr>
          <w:trHeight w:val="552"/>
        </w:trPr>
        <w:tc>
          <w:tcPr>
            <w:tcW w:w="1975" w:type="dxa"/>
            <w:tcMar/>
          </w:tcPr>
          <w:p w:rsidRPr="008A7C90" w:rsidR="0048655A" w:rsidP="0048655A" w:rsidRDefault="0048655A" w14:paraId="1B184543" w14:textId="77777777">
            <w:pPr>
              <w:spacing w:line="259" w:lineRule="auto"/>
            </w:pPr>
            <w:r w:rsidRPr="008A7C90">
              <w:t>Implementation Measurement</w:t>
            </w:r>
          </w:p>
        </w:tc>
        <w:tc>
          <w:tcPr>
            <w:tcW w:w="8730" w:type="dxa"/>
            <w:tcMar/>
          </w:tcPr>
          <w:p w:rsidRPr="009B385E" w:rsidR="0048655A" w:rsidP="0048655A" w:rsidRDefault="009B385E" w14:paraId="0D25EBD1" w14:textId="5703576E">
            <w:pPr>
              <w:spacing w:line="259" w:lineRule="auto"/>
            </w:pPr>
            <w:r>
              <w:t xml:space="preserve">Changes to adherence among patients who are age </w:t>
            </w:r>
            <w:r>
              <w:rPr>
                <w:u w:val="single"/>
              </w:rPr>
              <w:t>&gt;</w:t>
            </w:r>
            <w:r>
              <w:t xml:space="preserve"> 45 to ACC/AHA clinical guidelines. </w:t>
            </w:r>
          </w:p>
        </w:tc>
      </w:tr>
      <w:tr w:rsidRPr="008A7C90" w:rsidR="0048655A" w:rsidTr="162B32BB" w14:paraId="66558595" w14:textId="77777777">
        <w:trPr>
          <w:trHeight w:val="538"/>
        </w:trPr>
        <w:tc>
          <w:tcPr>
            <w:tcW w:w="1975" w:type="dxa"/>
            <w:tcMar/>
          </w:tcPr>
          <w:p w:rsidRPr="008A7C90" w:rsidR="0048655A" w:rsidP="0048655A" w:rsidRDefault="0048655A" w14:paraId="29954FA9" w14:textId="77777777">
            <w:pPr>
              <w:spacing w:line="259" w:lineRule="auto"/>
            </w:pPr>
            <w:r w:rsidRPr="008A7C90">
              <w:t>Reference</w:t>
            </w:r>
          </w:p>
        </w:tc>
        <w:tc>
          <w:tcPr>
            <w:tcW w:w="8730" w:type="dxa"/>
            <w:tcMar/>
          </w:tcPr>
          <w:p w:rsidRPr="008A7C90" w:rsidR="0048655A" w:rsidP="0048655A" w:rsidRDefault="00F623BC" w14:paraId="722DE921" w14:textId="11F34CD1">
            <w:pPr>
              <w:spacing w:line="259" w:lineRule="auto"/>
            </w:pPr>
            <w:r w:rsidR="00F623BC">
              <w:drawing>
                <wp:inline wp14:editId="162B32BB" wp14:anchorId="27564CE1">
                  <wp:extent cx="621253" cy="847725"/>
                  <wp:effectExtent l="0" t="0" r="7620" b="0"/>
                  <wp:docPr id="1" name="Picture 1" descr="Figure 1." title=""/>
                  <wp:cNvGraphicFramePr>
                    <a:graphicFrameLocks noChangeAspect="1"/>
                  </wp:cNvGraphicFramePr>
                  <a:graphic>
                    <a:graphicData uri="http://schemas.openxmlformats.org/drawingml/2006/picture">
                      <pic:pic>
                        <pic:nvPicPr>
                          <pic:cNvPr id="0" name="Picture 1"/>
                          <pic:cNvPicPr/>
                        </pic:nvPicPr>
                        <pic:blipFill>
                          <a:blip r:embed="Rcc0e5867b2b4425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1253" cy="847725"/>
                          </a:xfrm>
                          <a:prstGeom prst="rect">
                            <a:avLst/>
                          </a:prstGeom>
                        </pic:spPr>
                      </pic:pic>
                    </a:graphicData>
                  </a:graphic>
                </wp:inline>
              </w:drawing>
            </w:r>
            <w:proofErr w:type="spellStart"/>
            <w:r w:rsidR="0048655A">
              <w:rPr/>
              <w:t>doi</w:t>
            </w:r>
            <w:proofErr w:type="spellEnd"/>
            <w:r w:rsidR="0048655A">
              <w:rPr/>
              <w:t xml:space="preserve">: </w:t>
            </w:r>
            <w:r w:rsidR="00F623BC">
              <w:rPr/>
              <w:t>https://doi.org/10.1161/CIR.0000000000000106</w:t>
            </w:r>
          </w:p>
        </w:tc>
      </w:tr>
      <w:bookmarkEnd w:id="1"/>
    </w:tbl>
    <w:p w:rsidR="00FE6194" w:rsidP="00C73A94" w:rsidRDefault="00FE6194" w14:paraId="62800767" w14:textId="77777777">
      <w:pPr>
        <w:spacing w:after="0"/>
      </w:pPr>
    </w:p>
    <w:sectPr w:rsidR="00FE6194" w:rsidSect="00D24534">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811DB"/>
    <w:rsid w:val="00191053"/>
    <w:rsid w:val="001960B4"/>
    <w:rsid w:val="001D52BB"/>
    <w:rsid w:val="001E348B"/>
    <w:rsid w:val="002A1A00"/>
    <w:rsid w:val="0031051B"/>
    <w:rsid w:val="003D755D"/>
    <w:rsid w:val="003E27D1"/>
    <w:rsid w:val="003E34C5"/>
    <w:rsid w:val="0048655A"/>
    <w:rsid w:val="00514319"/>
    <w:rsid w:val="0056681D"/>
    <w:rsid w:val="006B65C2"/>
    <w:rsid w:val="006D32D2"/>
    <w:rsid w:val="0072563B"/>
    <w:rsid w:val="00777238"/>
    <w:rsid w:val="0077773D"/>
    <w:rsid w:val="008131C8"/>
    <w:rsid w:val="008A7C90"/>
    <w:rsid w:val="009001F2"/>
    <w:rsid w:val="00933309"/>
    <w:rsid w:val="009B385E"/>
    <w:rsid w:val="00A16BB1"/>
    <w:rsid w:val="00C3487D"/>
    <w:rsid w:val="00C4025A"/>
    <w:rsid w:val="00C73A94"/>
    <w:rsid w:val="00CB0455"/>
    <w:rsid w:val="00CF4301"/>
    <w:rsid w:val="00D003F1"/>
    <w:rsid w:val="00D24534"/>
    <w:rsid w:val="00EB0401"/>
    <w:rsid w:val="00EF635D"/>
    <w:rsid w:val="00F623BC"/>
    <w:rsid w:val="00F97C1A"/>
    <w:rsid w:val="00FE6194"/>
    <w:rsid w:val="0754EB15"/>
    <w:rsid w:val="0B4BE6C0"/>
    <w:rsid w:val="162B32BB"/>
    <w:rsid w:val="1A557A28"/>
    <w:rsid w:val="1A662101"/>
    <w:rsid w:val="2E6DCA24"/>
    <w:rsid w:val="30BD5087"/>
    <w:rsid w:val="3763F315"/>
    <w:rsid w:val="41E90D76"/>
    <w:rsid w:val="4E551E08"/>
    <w:rsid w:val="6371AD9E"/>
    <w:rsid w:val="7240B685"/>
    <w:rsid w:val="7A3210FF"/>
    <w:rsid w:val="7A8F9069"/>
    <w:rsid w:val="7D319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A7C90"/>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32163">
      <w:bodyDiv w:val="1"/>
      <w:marLeft w:val="0"/>
      <w:marRight w:val="0"/>
      <w:marTop w:val="0"/>
      <w:marBottom w:val="0"/>
      <w:divBdr>
        <w:top w:val="none" w:sz="0" w:space="0" w:color="auto"/>
        <w:left w:val="none" w:sz="0" w:space="0" w:color="auto"/>
        <w:bottom w:val="none" w:sz="0" w:space="0" w:color="auto"/>
        <w:right w:val="none" w:sz="0" w:space="0" w:color="auto"/>
      </w:divBdr>
    </w:div>
    <w:div w:id="116735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jpg" Id="Rcc0e5867b2b442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456E03-68E8-458D-A4CF-F756CE5AA513}"/>
</file>

<file path=customXml/itemProps2.xml><?xml version="1.0" encoding="utf-8"?>
<ds:datastoreItem xmlns:ds="http://schemas.openxmlformats.org/officeDocument/2006/customXml" ds:itemID="{422B8E45-4B7B-44CA-883D-6EABF409C33D}"/>
</file>

<file path=customXml/itemProps3.xml><?xml version="1.0" encoding="utf-8"?>
<ds:datastoreItem xmlns:ds="http://schemas.openxmlformats.org/officeDocument/2006/customXml" ds:itemID="{AC888A28-5B10-48BE-B8D6-480C75C53C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Douglas A Corley</cp:lastModifiedBy>
  <cp:revision>3</cp:revision>
  <dcterms:created xsi:type="dcterms:W3CDTF">2020-12-31T19:07:00Z</dcterms:created>
  <dcterms:modified xsi:type="dcterms:W3CDTF">2021-03-15T01:30:39Z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