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8ACE" w14:textId="75EAB644" w:rsidR="00AB4DC5" w:rsidRPr="00AB4DC5" w:rsidRDefault="005262AF" w:rsidP="00AB4DC5">
      <w:pPr>
        <w:pStyle w:val="Heading1"/>
        <w:contextualSpacing/>
      </w:pPr>
      <w:sdt>
        <w:sdtPr>
          <w:rPr>
            <w:rFonts w:ascii="Times New Roman" w:hAnsi="Times New Roman" w:cs="Times New Roman"/>
            <w:szCs w:val="24"/>
          </w:rPr>
          <w:id w:val="604153993"/>
          <w:placeholder>
            <w:docPart w:val="599AC8174B17490C88824D65AFBB534B"/>
          </w:placeholder>
        </w:sdtPr>
        <w:sdtEndPr/>
        <w:sdtContent>
          <w:r w:rsidR="00AA12CD">
            <w:t>Evaluation of physical function measure by the PF-5 in Kaiser Permanente Northern California</w:t>
          </w:r>
        </w:sdtContent>
      </w:sdt>
      <w:r w:rsidR="00E5510B">
        <w:t xml:space="preserve"> </w:t>
      </w:r>
    </w:p>
    <w:p w14:paraId="7C373D83" w14:textId="7B50BD80" w:rsidR="00AB4DC5" w:rsidRDefault="00AA12CD" w:rsidP="00AB4DC5">
      <w:pPr>
        <w:contextualSpacing/>
        <w:rPr>
          <w:rFonts w:cs="Arial"/>
        </w:rPr>
      </w:pPr>
      <w:r>
        <w:t xml:space="preserve">Michael Yoo, MD; Vincent Liu, MD </w:t>
      </w:r>
      <w:r>
        <w:rPr>
          <w:rFonts w:cs="Arial"/>
        </w:rPr>
        <w:t>MSc; Colleen Plimier, M</w:t>
      </w:r>
      <w:r w:rsidR="00A008D4">
        <w:rPr>
          <w:rFonts w:cs="Arial"/>
        </w:rPr>
        <w:t>PH</w:t>
      </w:r>
      <w:r>
        <w:rPr>
          <w:rFonts w:cs="Arial"/>
        </w:rPr>
        <w:t>; Patricia Kipnis, PhD</w:t>
      </w:r>
    </w:p>
    <w:p w14:paraId="6382DF0B" w14:textId="77777777" w:rsidR="003C0946" w:rsidRPr="003C4176" w:rsidRDefault="003C0946" w:rsidP="00AB4DC5">
      <w:pPr>
        <w:contextualSpacing/>
      </w:pPr>
    </w:p>
    <w:tbl>
      <w:tblPr>
        <w:tblStyle w:val="TableGrid"/>
        <w:tblW w:w="10345" w:type="dxa"/>
        <w:tblLook w:val="04A0" w:firstRow="1" w:lastRow="0" w:firstColumn="1" w:lastColumn="0" w:noHBand="0" w:noVBand="1"/>
      </w:tblPr>
      <w:tblGrid>
        <w:gridCol w:w="2638"/>
        <w:gridCol w:w="7707"/>
      </w:tblGrid>
      <w:tr w:rsidR="00E8348C" w:rsidRPr="008A7C90" w14:paraId="5E8C4A25" w14:textId="77777777" w:rsidTr="19A05A99">
        <w:trPr>
          <w:trHeight w:val="816"/>
        </w:trPr>
        <w:tc>
          <w:tcPr>
            <w:tcW w:w="2638" w:type="dxa"/>
          </w:tcPr>
          <w:p w14:paraId="5B70F066" w14:textId="77777777" w:rsidR="00E8348C" w:rsidRPr="003C0946" w:rsidRDefault="00E8348C" w:rsidP="005D5EA7">
            <w:pPr>
              <w:spacing w:after="160" w:line="259" w:lineRule="auto"/>
              <w:contextualSpacing/>
              <w:rPr>
                <w:b/>
                <w:bCs/>
              </w:rPr>
            </w:pPr>
            <w:bookmarkStart w:id="0" w:name="_Hlk54105970"/>
            <w:r w:rsidRPr="003C0946">
              <w:rPr>
                <w:b/>
                <w:bCs/>
              </w:rPr>
              <w:t>Challenge</w:t>
            </w:r>
          </w:p>
        </w:tc>
        <w:tc>
          <w:tcPr>
            <w:tcW w:w="7707" w:type="dxa"/>
          </w:tcPr>
          <w:p w14:paraId="16C35478" w14:textId="2463D997" w:rsidR="00E8348C" w:rsidRPr="00426C21" w:rsidRDefault="00AC3E24" w:rsidP="00A525B5">
            <w:pPr>
              <w:contextualSpacing/>
            </w:pPr>
            <w:r w:rsidRPr="002B1091">
              <w:t xml:space="preserve">Impairment in physical function (PF) during hospitalization is common, with over a third of hospitalized older adults experiencing a decline from their </w:t>
            </w:r>
            <w:r>
              <w:t xml:space="preserve">functional </w:t>
            </w:r>
            <w:r w:rsidRPr="002B1091">
              <w:t>baseline at the time of discharge. Patients with impaired PF</w:t>
            </w:r>
            <w:r>
              <w:t>, existing prior to admission as well as recognized during hospitalization,</w:t>
            </w:r>
            <w:r w:rsidRPr="002B1091">
              <w:t xml:space="preserve"> are at risk for increased healthcare utilization. While PF is an important aspect of overall health</w:t>
            </w:r>
            <w:r>
              <w:t xml:space="preserve">, </w:t>
            </w:r>
            <w:r w:rsidRPr="002B1091">
              <w:t>it is poorly measured and tracked in hospitalized patients</w:t>
            </w:r>
            <w:r>
              <w:t>. Reliable and standardized PF measurement could improve care processes by recognizing patients who will need physical therapy, home health services, or subacute nursing facilities and stratifying patients at highest risk for adverse post-discharge sequelae. In KPNC hospitals, a novel measure of physical function – the PF-5 PROMIS measure – was implemented in 2021 as the default metric for inpatient function and has been recorded &gt;200,000 times among our inpatients. In this evaluation, our goal w</w:t>
            </w:r>
            <w:r w:rsidR="00635BE0">
              <w:t>as</w:t>
            </w:r>
            <w:r>
              <w:t xml:space="preserve"> to draw insight from these data to assist our hospital operational partners (leaders over programs including Enhanced Recovery Medicine, Mobility/Physical Therapy, Care Coordination/Discharge Planning) in identifying opportunities to improve physical therapy, utilization, and discharge care processes for KPNC inpatients.</w:t>
            </w:r>
          </w:p>
        </w:tc>
      </w:tr>
      <w:tr w:rsidR="00E8348C" w:rsidRPr="008A7C90" w14:paraId="1E76C968" w14:textId="77777777" w:rsidTr="19A05A99">
        <w:trPr>
          <w:trHeight w:val="1091"/>
        </w:trPr>
        <w:tc>
          <w:tcPr>
            <w:tcW w:w="2638" w:type="dxa"/>
          </w:tcPr>
          <w:p w14:paraId="47056361" w14:textId="77777777" w:rsidR="00E8348C" w:rsidRPr="003C0946" w:rsidRDefault="00E8348C" w:rsidP="005D5EA7">
            <w:pPr>
              <w:spacing w:after="160" w:line="259" w:lineRule="auto"/>
              <w:contextualSpacing/>
              <w:rPr>
                <w:b/>
                <w:bCs/>
              </w:rPr>
            </w:pPr>
            <w:r w:rsidRPr="003C0946">
              <w:rPr>
                <w:b/>
                <w:bCs/>
              </w:rPr>
              <w:t>Existing Evidence</w:t>
            </w:r>
          </w:p>
        </w:tc>
        <w:tc>
          <w:tcPr>
            <w:tcW w:w="7707" w:type="dxa"/>
          </w:tcPr>
          <w:p w14:paraId="34C25655" w14:textId="19CE132C" w:rsidR="00A525B5" w:rsidRPr="008A7C90" w:rsidRDefault="00AC3E24" w:rsidP="00A525B5">
            <w:pPr>
              <w:contextualSpacing/>
            </w:pPr>
            <w:r w:rsidRPr="002B1091">
              <w:t xml:space="preserve">While many tools measuring PF are available, few are developed or </w:t>
            </w:r>
            <w:r>
              <w:t>implemented</w:t>
            </w:r>
            <w:r w:rsidRPr="002B1091">
              <w:t xml:space="preserve"> in healthcare systems </w:t>
            </w:r>
            <w:r>
              <w:t xml:space="preserve">in a standardized fashion </w:t>
            </w:r>
            <w:r w:rsidRPr="002B1091">
              <w:t xml:space="preserve">to track the functional trajectory of patients during the </w:t>
            </w:r>
            <w:r>
              <w:t>peri-</w:t>
            </w:r>
            <w:r w:rsidRPr="002B1091">
              <w:t xml:space="preserve">hospitalization period. Having a real-time, systematic PF tool during hospitalization </w:t>
            </w:r>
            <w:r w:rsidR="00635BE0">
              <w:t>can</w:t>
            </w:r>
            <w:r w:rsidRPr="002B1091">
              <w:t xml:space="preserve"> help us address current knowledge gaps of whether certain levels of PF are associated with varying types of discharge disposition (e.g., home, </w:t>
            </w:r>
            <w:r>
              <w:t>home</w:t>
            </w:r>
            <w:r w:rsidRPr="002B1091">
              <w:t xml:space="preserve"> health</w:t>
            </w:r>
            <w:r>
              <w:t xml:space="preserve"> services</w:t>
            </w:r>
            <w:r w:rsidRPr="002B1091">
              <w:t>, skilled nursing facility)</w:t>
            </w:r>
            <w:r>
              <w:t xml:space="preserve"> and with other </w:t>
            </w:r>
            <w:r w:rsidRPr="002B1091">
              <w:t>adverse in-hospital and post-discharge outcomes. Our group previously developed the PF</w:t>
            </w:r>
            <w:r>
              <w:t>-</w:t>
            </w:r>
            <w:r w:rsidRPr="002B1091">
              <w:t>5 tool as a validated and efficient means of assessing inpatient PF</w:t>
            </w:r>
            <w:r>
              <w:t>, with the collaboration of physicians, nurses, and physical therapists</w:t>
            </w:r>
            <w:r w:rsidRPr="002B1091">
              <w:t>. The current project will specifically use PF-5 to address these knowledge gaps, in particular by 1) evaluating the associations of PF</w:t>
            </w:r>
            <w:r>
              <w:t>-5</w:t>
            </w:r>
            <w:r w:rsidRPr="002B1091">
              <w:t xml:space="preserve"> with outcomes such as </w:t>
            </w:r>
            <w:r>
              <w:t xml:space="preserve">disposition status, </w:t>
            </w:r>
            <w:r w:rsidRPr="002B1091">
              <w:t xml:space="preserve">in-hospital falls with or without injury, LOS, readmission, </w:t>
            </w:r>
            <w:r>
              <w:t>and mortality</w:t>
            </w:r>
            <w:r w:rsidRPr="002B1091">
              <w:t xml:space="preserve">, </w:t>
            </w:r>
            <w:r>
              <w:t xml:space="preserve">2) assessing the likelihood of discharge disposition and home health services required as a function of PF-5, </w:t>
            </w:r>
            <w:r w:rsidRPr="002B1091">
              <w:t xml:space="preserve">and </w:t>
            </w:r>
            <w:r>
              <w:t>3</w:t>
            </w:r>
            <w:r w:rsidRPr="002B1091">
              <w:t>) gaining insight as to whether the timing, frequency, and intensity of physical therapy are associated with a change in PF trajectory during hospitalization.</w:t>
            </w:r>
          </w:p>
        </w:tc>
      </w:tr>
      <w:tr w:rsidR="00E8348C" w:rsidRPr="008A7C90" w14:paraId="4653D493" w14:textId="77777777" w:rsidTr="19A05A99">
        <w:trPr>
          <w:trHeight w:val="262"/>
        </w:trPr>
        <w:tc>
          <w:tcPr>
            <w:tcW w:w="2638" w:type="dxa"/>
          </w:tcPr>
          <w:p w14:paraId="4E195C0B" w14:textId="77777777" w:rsidR="00E8348C" w:rsidRPr="003C0946" w:rsidRDefault="00E8348C" w:rsidP="005D5EA7">
            <w:pPr>
              <w:spacing w:after="160" w:line="259" w:lineRule="auto"/>
              <w:contextualSpacing/>
              <w:rPr>
                <w:b/>
                <w:bCs/>
              </w:rPr>
            </w:pPr>
            <w:r w:rsidRPr="003C0946">
              <w:rPr>
                <w:b/>
                <w:bCs/>
              </w:rPr>
              <w:t>Target Population</w:t>
            </w:r>
          </w:p>
        </w:tc>
        <w:tc>
          <w:tcPr>
            <w:tcW w:w="7707" w:type="dxa"/>
          </w:tcPr>
          <w:p w14:paraId="0E490D57" w14:textId="77777777" w:rsidR="00635BE0" w:rsidRDefault="00635BE0" w:rsidP="003C0946">
            <w:r>
              <w:t>We defined our cohort of interest based on the following criteria:</w:t>
            </w:r>
          </w:p>
          <w:p w14:paraId="16461927" w14:textId="37FDFF6B" w:rsidR="00944DF3" w:rsidRPr="00944DF3" w:rsidRDefault="00944DF3" w:rsidP="00944DF3">
            <w:pPr>
              <w:pStyle w:val="ListParagraph"/>
              <w:numPr>
                <w:ilvl w:val="0"/>
                <w:numId w:val="2"/>
              </w:numPr>
            </w:pPr>
            <w:r w:rsidRPr="00944DF3">
              <w:t xml:space="preserve">All hospitalizations with </w:t>
            </w:r>
            <w:r w:rsidR="00635BE0">
              <w:t xml:space="preserve">a </w:t>
            </w:r>
            <w:r w:rsidRPr="00944DF3">
              <w:t>patient class</w:t>
            </w:r>
            <w:r w:rsidR="00635BE0">
              <w:t xml:space="preserve"> of</w:t>
            </w:r>
            <w:r w:rsidRPr="00944DF3">
              <w:t xml:space="preserve"> Inpatient, Observation, or Admit with Surgery </w:t>
            </w:r>
            <w:r>
              <w:t xml:space="preserve">between 3/1/2020 and </w:t>
            </w:r>
            <w:r w:rsidR="009042DC">
              <w:t>7/26/2022</w:t>
            </w:r>
          </w:p>
          <w:p w14:paraId="1A3F9CAD" w14:textId="5B6D9CD6" w:rsidR="00944DF3" w:rsidRPr="00944DF3" w:rsidRDefault="00CB75F2" w:rsidP="00944DF3">
            <w:pPr>
              <w:pStyle w:val="ListParagraph"/>
              <w:numPr>
                <w:ilvl w:val="0"/>
                <w:numId w:val="2"/>
              </w:numPr>
            </w:pPr>
            <w:r>
              <w:t>A</w:t>
            </w:r>
            <w:r w:rsidR="00944DF3" w:rsidRPr="00944DF3">
              <w:t>dult patients (&gt;=18 years of age at time of admission)</w:t>
            </w:r>
          </w:p>
          <w:p w14:paraId="156A5278" w14:textId="7B6BAE9D" w:rsidR="00944DF3" w:rsidRPr="00944DF3" w:rsidRDefault="00CB75F2" w:rsidP="00944DF3">
            <w:pPr>
              <w:pStyle w:val="ListParagraph"/>
              <w:numPr>
                <w:ilvl w:val="0"/>
                <w:numId w:val="2"/>
              </w:numPr>
            </w:pPr>
            <w:r>
              <w:t>H</w:t>
            </w:r>
            <w:r w:rsidR="00944DF3" w:rsidRPr="00944DF3">
              <w:t>ospitalizations with length of stay &gt;= 24 Hours</w:t>
            </w:r>
          </w:p>
          <w:p w14:paraId="3200BDED" w14:textId="1FB9BBF6" w:rsidR="00CB75F2" w:rsidRDefault="00944DF3" w:rsidP="00944DF3">
            <w:pPr>
              <w:pStyle w:val="ListParagraph"/>
              <w:numPr>
                <w:ilvl w:val="0"/>
                <w:numId w:val="2"/>
              </w:numPr>
            </w:pPr>
            <w:r w:rsidRPr="00944DF3">
              <w:t>Exclude</w:t>
            </w:r>
            <w:r w:rsidR="00635BE0">
              <w:t>d:</w:t>
            </w:r>
          </w:p>
          <w:p w14:paraId="40AE5808" w14:textId="77777777" w:rsidR="00CB75F2" w:rsidRDefault="00CB75F2" w:rsidP="00CB75F2">
            <w:pPr>
              <w:pStyle w:val="ListParagraph"/>
              <w:numPr>
                <w:ilvl w:val="1"/>
                <w:numId w:val="2"/>
              </w:numPr>
            </w:pPr>
            <w:r>
              <w:t>M</w:t>
            </w:r>
            <w:r w:rsidR="00944DF3" w:rsidRPr="00944DF3">
              <w:t>aternity- and psych-related hospitalizations</w:t>
            </w:r>
          </w:p>
          <w:p w14:paraId="3DECF3DA" w14:textId="45B0DA80" w:rsidR="00747DAB" w:rsidRPr="008A7C90" w:rsidRDefault="00747DAB" w:rsidP="00CB75F2">
            <w:pPr>
              <w:pStyle w:val="ListParagraph"/>
              <w:numPr>
                <w:ilvl w:val="1"/>
                <w:numId w:val="2"/>
              </w:numPr>
            </w:pPr>
            <w:r w:rsidRPr="00747DAB">
              <w:t>For post-discharge  outcome</w:t>
            </w:r>
            <w:r w:rsidR="00E65C8F">
              <w:t>s (SNF and 30-day mortality)</w:t>
            </w:r>
            <w:r w:rsidRPr="00747DAB">
              <w:t xml:space="preserve">, </w:t>
            </w:r>
            <w:r w:rsidR="00635BE0">
              <w:t xml:space="preserve">our cohort </w:t>
            </w:r>
            <w:r w:rsidRPr="00747DAB">
              <w:t>excludes encounters where patient did not survive to discharge</w:t>
            </w:r>
          </w:p>
        </w:tc>
      </w:tr>
      <w:tr w:rsidR="00E8348C" w:rsidRPr="008A7C90" w14:paraId="3C9DF6E4" w14:textId="77777777" w:rsidTr="19A05A99">
        <w:trPr>
          <w:trHeight w:val="431"/>
        </w:trPr>
        <w:tc>
          <w:tcPr>
            <w:tcW w:w="2638" w:type="dxa"/>
          </w:tcPr>
          <w:p w14:paraId="190EF833" w14:textId="77777777" w:rsidR="00E8348C" w:rsidRPr="003C0946" w:rsidRDefault="00E8348C" w:rsidP="005D5EA7">
            <w:pPr>
              <w:spacing w:after="160" w:line="259" w:lineRule="auto"/>
              <w:contextualSpacing/>
              <w:rPr>
                <w:b/>
                <w:bCs/>
              </w:rPr>
            </w:pPr>
            <w:r w:rsidRPr="003C0946">
              <w:rPr>
                <w:b/>
                <w:bCs/>
              </w:rPr>
              <w:t>Intervention or Exposure</w:t>
            </w:r>
          </w:p>
        </w:tc>
        <w:tc>
          <w:tcPr>
            <w:tcW w:w="7707" w:type="dxa"/>
          </w:tcPr>
          <w:p w14:paraId="6E548C79" w14:textId="37FCB069" w:rsidR="00E8348C" w:rsidRPr="008A7C90" w:rsidRDefault="00AC3E24" w:rsidP="004B011A">
            <w:pPr>
              <w:contextualSpacing/>
            </w:pPr>
            <w:r>
              <w:t>C</w:t>
            </w:r>
            <w:r w:rsidRPr="001C7BF2">
              <w:t>linician-assessed level of function score</w:t>
            </w:r>
            <w:r>
              <w:t>s</w:t>
            </w:r>
            <w:r w:rsidRPr="001C7BF2">
              <w:t xml:space="preserve"> </w:t>
            </w:r>
            <w:r>
              <w:t xml:space="preserve">prior to hospitalization </w:t>
            </w:r>
            <w:r w:rsidRPr="001C7BF2">
              <w:t>(</w:t>
            </w:r>
            <w:r>
              <w:t xml:space="preserve">prior level of function, PLOF) and during hospitalization (current level of function, </w:t>
            </w:r>
            <w:r w:rsidRPr="001C7BF2">
              <w:t>CLOF</w:t>
            </w:r>
            <w:r>
              <w:t xml:space="preserve">) </w:t>
            </w:r>
            <w:r w:rsidRPr="001C7BF2">
              <w:t>on admission</w:t>
            </w:r>
          </w:p>
        </w:tc>
      </w:tr>
      <w:tr w:rsidR="00684CEA" w:rsidRPr="008A7C90" w14:paraId="7CCA1290" w14:textId="77777777" w:rsidTr="19A05A99">
        <w:trPr>
          <w:trHeight w:val="1061"/>
        </w:trPr>
        <w:tc>
          <w:tcPr>
            <w:tcW w:w="2638" w:type="dxa"/>
          </w:tcPr>
          <w:p w14:paraId="5361FF19" w14:textId="5AEFBBBD" w:rsidR="00684CEA" w:rsidRPr="003C0946" w:rsidRDefault="00684CEA" w:rsidP="005D5EA7">
            <w:pPr>
              <w:contextualSpacing/>
              <w:rPr>
                <w:b/>
                <w:bCs/>
              </w:rPr>
            </w:pPr>
            <w:r w:rsidRPr="003C0946">
              <w:rPr>
                <w:b/>
                <w:bCs/>
              </w:rPr>
              <w:lastRenderedPageBreak/>
              <w:t>Methods</w:t>
            </w:r>
          </w:p>
        </w:tc>
        <w:tc>
          <w:tcPr>
            <w:tcW w:w="7707" w:type="dxa"/>
          </w:tcPr>
          <w:p w14:paraId="241FD23F" w14:textId="4871B138" w:rsidR="00540292" w:rsidRDefault="00540292" w:rsidP="003C0946">
            <w:r>
              <w:t>We approached our analyses in the following way:</w:t>
            </w:r>
          </w:p>
          <w:p w14:paraId="327D89AF" w14:textId="4E440FD2" w:rsidR="00684CEA" w:rsidRPr="00684CEA" w:rsidRDefault="00AC3E24" w:rsidP="00684CEA">
            <w:pPr>
              <w:pStyle w:val="ListParagraph"/>
              <w:numPr>
                <w:ilvl w:val="0"/>
                <w:numId w:val="5"/>
              </w:numPr>
            </w:pPr>
            <w:r>
              <w:t>S</w:t>
            </w:r>
            <w:r w:rsidR="00684CEA">
              <w:t>plit the data into training (10/1/2021 – 3/31/2022) and validation sets (4/1/2022 – 7/31/2022)</w:t>
            </w:r>
          </w:p>
          <w:p w14:paraId="1517D86B" w14:textId="300B7B31" w:rsidR="00684CEA" w:rsidRPr="00684CEA" w:rsidRDefault="00AC3E24" w:rsidP="00684CEA">
            <w:pPr>
              <w:pStyle w:val="ListParagraph"/>
              <w:numPr>
                <w:ilvl w:val="0"/>
                <w:numId w:val="5"/>
              </w:numPr>
            </w:pPr>
            <w:r>
              <w:t>U</w:t>
            </w:r>
            <w:r w:rsidR="00684CEA" w:rsidRPr="00684CEA">
              <w:t>sed logistic regression with binary outcome</w:t>
            </w:r>
            <w:r>
              <w:t>s (SNF Discharge, PT Consult, Weak mobility, Inpatient death, 30-day mortality)</w:t>
            </w:r>
          </w:p>
          <w:p w14:paraId="4ED62C2E" w14:textId="62442444" w:rsidR="00684CEA" w:rsidRPr="00684CEA" w:rsidRDefault="00684CEA" w:rsidP="00684CEA">
            <w:pPr>
              <w:pStyle w:val="ListParagraph"/>
              <w:numPr>
                <w:ilvl w:val="0"/>
                <w:numId w:val="5"/>
              </w:numPr>
            </w:pPr>
            <w:r w:rsidRPr="00684CEA">
              <w:t>The models included standard key covariates (Age, BMI, COPS2, LAPS, …), additional clinical predictors, and CLOF/PLOF</w:t>
            </w:r>
            <w:r w:rsidR="00AC3E24">
              <w:t xml:space="preserve"> (see predictors below)</w:t>
            </w:r>
          </w:p>
          <w:p w14:paraId="0969BA1B" w14:textId="5045219D" w:rsidR="00684CEA" w:rsidRPr="00684CEA" w:rsidRDefault="00CB75F2" w:rsidP="00684CEA">
            <w:pPr>
              <w:pStyle w:val="ListParagraph"/>
              <w:numPr>
                <w:ilvl w:val="0"/>
                <w:numId w:val="5"/>
              </w:numPr>
            </w:pPr>
            <w:r>
              <w:t>C</w:t>
            </w:r>
            <w:r w:rsidR="00684CEA" w:rsidRPr="00684CEA">
              <w:t>ompared the AUC and AUPRC of models with and without functional status</w:t>
            </w:r>
          </w:p>
          <w:p w14:paraId="381545AC" w14:textId="572D8D88" w:rsidR="00684CEA" w:rsidRPr="00684CEA" w:rsidRDefault="00CB75F2" w:rsidP="00684CEA">
            <w:pPr>
              <w:pStyle w:val="ListParagraph"/>
              <w:numPr>
                <w:ilvl w:val="0"/>
                <w:numId w:val="5"/>
              </w:numPr>
            </w:pPr>
            <w:r>
              <w:t>Built</w:t>
            </w:r>
            <w:r w:rsidR="00684CEA" w:rsidRPr="00684CEA">
              <w:t xml:space="preserve"> </w:t>
            </w:r>
            <w:r w:rsidR="00684CEA">
              <w:t>3</w:t>
            </w:r>
            <w:r w:rsidR="00684CEA" w:rsidRPr="00684CEA">
              <w:t xml:space="preserve"> models:</w:t>
            </w:r>
          </w:p>
          <w:p w14:paraId="231EA33D" w14:textId="77777777" w:rsidR="00684CEA" w:rsidRPr="00684CEA" w:rsidRDefault="00684CEA" w:rsidP="00684CEA">
            <w:pPr>
              <w:pStyle w:val="ListParagraph"/>
              <w:numPr>
                <w:ilvl w:val="0"/>
                <w:numId w:val="6"/>
              </w:numPr>
            </w:pPr>
            <w:r w:rsidRPr="00684CEA">
              <w:t>Base model (PLOF, CLOF, and basic covariates)</w:t>
            </w:r>
          </w:p>
          <w:p w14:paraId="69692723" w14:textId="77777777" w:rsidR="00684CEA" w:rsidRPr="00684CEA" w:rsidRDefault="00684CEA" w:rsidP="00684CEA">
            <w:pPr>
              <w:pStyle w:val="ListParagraph"/>
              <w:numPr>
                <w:ilvl w:val="0"/>
                <w:numId w:val="6"/>
              </w:numPr>
            </w:pPr>
            <w:r w:rsidRPr="00684CEA">
              <w:t>Base model + Additional Predictors</w:t>
            </w:r>
          </w:p>
          <w:p w14:paraId="65F59F73" w14:textId="77777777" w:rsidR="00684CEA" w:rsidRDefault="00684CEA" w:rsidP="00684CEA">
            <w:pPr>
              <w:pStyle w:val="ListParagraph"/>
              <w:numPr>
                <w:ilvl w:val="0"/>
                <w:numId w:val="6"/>
              </w:numPr>
            </w:pPr>
            <w:r w:rsidRPr="00684CEA">
              <w:t>Base model + CLOF/PLOF ratios</w:t>
            </w:r>
          </w:p>
          <w:p w14:paraId="64DD3E22" w14:textId="0C0515FB" w:rsidR="00576333" w:rsidRDefault="00CB75F2" w:rsidP="00576333">
            <w:pPr>
              <w:pStyle w:val="ListParagraph"/>
              <w:numPr>
                <w:ilvl w:val="0"/>
                <w:numId w:val="10"/>
              </w:numPr>
            </w:pPr>
            <w:r>
              <w:t>A</w:t>
            </w:r>
            <w:r w:rsidR="00576333">
              <w:t>ssessed inter-facility variation in risk adjusted SNF discharge and PT Consult</w:t>
            </w:r>
          </w:p>
          <w:p w14:paraId="445B1A81" w14:textId="5BC1559D" w:rsidR="00576333" w:rsidRDefault="00576333" w:rsidP="00576333">
            <w:pPr>
              <w:pStyle w:val="ListParagraph"/>
              <w:numPr>
                <w:ilvl w:val="0"/>
                <w:numId w:val="10"/>
              </w:numPr>
            </w:pPr>
            <w:r>
              <w:t xml:space="preserve">In a separate analysis we modeled non-custodial </w:t>
            </w:r>
            <w:r w:rsidR="00C90380">
              <w:t xml:space="preserve">(skilled) </w:t>
            </w:r>
            <w:r>
              <w:t>SNF discharge</w:t>
            </w:r>
          </w:p>
          <w:p w14:paraId="71845552" w14:textId="14B5F9FC" w:rsidR="00576333" w:rsidRPr="008A7C90" w:rsidRDefault="00576333" w:rsidP="00576333">
            <w:pPr>
              <w:pStyle w:val="ListParagraph"/>
              <w:numPr>
                <w:ilvl w:val="1"/>
                <w:numId w:val="10"/>
              </w:numPr>
            </w:pPr>
            <w:r>
              <w:t>Excluded encounters with custodial SNF 60 days prior to admit</w:t>
            </w:r>
          </w:p>
        </w:tc>
      </w:tr>
      <w:tr w:rsidR="00684CEA" w:rsidRPr="008A7C90" w14:paraId="5F956F17" w14:textId="77777777" w:rsidTr="19A05A99">
        <w:trPr>
          <w:trHeight w:val="1061"/>
        </w:trPr>
        <w:tc>
          <w:tcPr>
            <w:tcW w:w="2638" w:type="dxa"/>
          </w:tcPr>
          <w:p w14:paraId="0D02F153" w14:textId="14EA3984" w:rsidR="00684CEA" w:rsidRPr="003C0946" w:rsidRDefault="00684CEA" w:rsidP="005D5EA7">
            <w:pPr>
              <w:contextualSpacing/>
              <w:rPr>
                <w:b/>
                <w:bCs/>
              </w:rPr>
            </w:pPr>
            <w:r w:rsidRPr="003C0946">
              <w:rPr>
                <w:b/>
                <w:bCs/>
              </w:rPr>
              <w:t>Predictors</w:t>
            </w:r>
          </w:p>
        </w:tc>
        <w:tc>
          <w:tcPr>
            <w:tcW w:w="7707" w:type="dxa"/>
          </w:tcPr>
          <w:p w14:paraId="6FA67F93" w14:textId="60C759AA" w:rsidR="00684CEA" w:rsidRPr="00684CEA" w:rsidRDefault="00684CEA" w:rsidP="00684CEA">
            <w:pPr>
              <w:contextualSpacing/>
            </w:pPr>
            <w:r w:rsidRPr="00684CEA">
              <w:t>Base model predictors</w:t>
            </w:r>
            <w:r w:rsidR="00540292">
              <w:t xml:space="preserve"> (based on routine EHR data we used in our studies)</w:t>
            </w:r>
            <w:r w:rsidRPr="00684CEA">
              <w:t>:</w:t>
            </w:r>
          </w:p>
          <w:p w14:paraId="61790A75" w14:textId="77777777" w:rsidR="00684CEA" w:rsidRPr="00684CEA" w:rsidRDefault="00684CEA" w:rsidP="00684CEA">
            <w:pPr>
              <w:numPr>
                <w:ilvl w:val="0"/>
                <w:numId w:val="7"/>
              </w:numPr>
              <w:contextualSpacing/>
            </w:pPr>
            <w:r w:rsidRPr="00684CEA">
              <w:t>Male</w:t>
            </w:r>
          </w:p>
          <w:p w14:paraId="7B93259C" w14:textId="77777777" w:rsidR="00684CEA" w:rsidRPr="00684CEA" w:rsidRDefault="00684CEA" w:rsidP="00684CEA">
            <w:pPr>
              <w:numPr>
                <w:ilvl w:val="0"/>
                <w:numId w:val="7"/>
              </w:numPr>
              <w:contextualSpacing/>
            </w:pPr>
            <w:r w:rsidRPr="00684CEA">
              <w:t>Age</w:t>
            </w:r>
          </w:p>
          <w:p w14:paraId="5716BC38" w14:textId="77777777" w:rsidR="00684CEA" w:rsidRPr="00684CEA" w:rsidRDefault="00684CEA" w:rsidP="00684CEA">
            <w:pPr>
              <w:numPr>
                <w:ilvl w:val="0"/>
                <w:numId w:val="7"/>
              </w:numPr>
              <w:contextualSpacing/>
            </w:pPr>
            <w:r w:rsidRPr="00684CEA">
              <w:t>BMI</w:t>
            </w:r>
          </w:p>
          <w:p w14:paraId="1E3F9593" w14:textId="77777777" w:rsidR="00684CEA" w:rsidRPr="00684CEA" w:rsidRDefault="00684CEA" w:rsidP="00684CEA">
            <w:pPr>
              <w:numPr>
                <w:ilvl w:val="0"/>
                <w:numId w:val="7"/>
              </w:numPr>
              <w:contextualSpacing/>
            </w:pPr>
            <w:r w:rsidRPr="00684CEA">
              <w:t>Admit COPS2.5</w:t>
            </w:r>
          </w:p>
          <w:p w14:paraId="0859EB18" w14:textId="77777777" w:rsidR="00684CEA" w:rsidRPr="00684CEA" w:rsidRDefault="00684CEA" w:rsidP="00684CEA">
            <w:pPr>
              <w:numPr>
                <w:ilvl w:val="0"/>
                <w:numId w:val="7"/>
              </w:numPr>
              <w:contextualSpacing/>
            </w:pPr>
            <w:r w:rsidRPr="00684CEA">
              <w:t>Admit LAPS2.5</w:t>
            </w:r>
          </w:p>
          <w:p w14:paraId="7C9C9E27" w14:textId="77777777" w:rsidR="00684CEA" w:rsidRPr="00684CEA" w:rsidRDefault="00684CEA" w:rsidP="00684CEA">
            <w:pPr>
              <w:numPr>
                <w:ilvl w:val="0"/>
                <w:numId w:val="7"/>
              </w:numPr>
              <w:contextualSpacing/>
            </w:pPr>
            <w:r w:rsidRPr="00684CEA">
              <w:t>Admit category</w:t>
            </w:r>
          </w:p>
          <w:p w14:paraId="79A25A5A" w14:textId="77777777" w:rsidR="00684CEA" w:rsidRDefault="00684CEA" w:rsidP="00684CEA">
            <w:pPr>
              <w:numPr>
                <w:ilvl w:val="0"/>
                <w:numId w:val="7"/>
              </w:numPr>
              <w:contextualSpacing/>
            </w:pPr>
            <w:r w:rsidRPr="00684CEA">
              <w:t>First Uni</w:t>
            </w:r>
            <w:r>
              <w:t>t</w:t>
            </w:r>
          </w:p>
          <w:p w14:paraId="6643522A" w14:textId="77777777" w:rsidR="00684CEA" w:rsidRDefault="00684CEA" w:rsidP="00684CEA">
            <w:pPr>
              <w:numPr>
                <w:ilvl w:val="0"/>
                <w:numId w:val="7"/>
              </w:numPr>
              <w:contextualSpacing/>
            </w:pPr>
            <w:r w:rsidRPr="00684CEA">
              <w:t>Care order at Hospital Entry Time (HET)</w:t>
            </w:r>
          </w:p>
          <w:p w14:paraId="1EFC20D5" w14:textId="0E62377C" w:rsidR="0099736E" w:rsidRPr="0099736E" w:rsidRDefault="0099736E" w:rsidP="0099736E">
            <w:pPr>
              <w:contextualSpacing/>
            </w:pPr>
            <w:r w:rsidRPr="0099736E">
              <w:t>Additional model predictors</w:t>
            </w:r>
            <w:r w:rsidR="00540292">
              <w:t xml:space="preserve"> (based on clinician/leadership input)</w:t>
            </w:r>
            <w:r w:rsidRPr="0099736E">
              <w:t>:</w:t>
            </w:r>
          </w:p>
          <w:p w14:paraId="49844958" w14:textId="77777777" w:rsidR="0099736E" w:rsidRPr="0099736E" w:rsidRDefault="0099736E" w:rsidP="0099736E">
            <w:pPr>
              <w:numPr>
                <w:ilvl w:val="0"/>
                <w:numId w:val="8"/>
              </w:numPr>
              <w:contextualSpacing/>
            </w:pPr>
            <w:r w:rsidRPr="0099736E">
              <w:t>Insurance Type</w:t>
            </w:r>
          </w:p>
          <w:p w14:paraId="72FE971F" w14:textId="77777777" w:rsidR="0099736E" w:rsidRPr="0099736E" w:rsidRDefault="0099736E" w:rsidP="0099736E">
            <w:pPr>
              <w:numPr>
                <w:ilvl w:val="0"/>
                <w:numId w:val="8"/>
              </w:numPr>
              <w:contextualSpacing/>
            </w:pPr>
            <w:r w:rsidRPr="0099736E">
              <w:t>Social Work Consult during hospital encounter</w:t>
            </w:r>
          </w:p>
          <w:p w14:paraId="2BF87E84" w14:textId="77777777" w:rsidR="0099736E" w:rsidRPr="0099736E" w:rsidRDefault="0099736E" w:rsidP="0099736E">
            <w:pPr>
              <w:numPr>
                <w:ilvl w:val="0"/>
                <w:numId w:val="8"/>
              </w:numPr>
              <w:contextualSpacing/>
            </w:pPr>
            <w:r w:rsidRPr="0099736E">
              <w:t>Type of Social Support at home</w:t>
            </w:r>
          </w:p>
          <w:p w14:paraId="771A6A56" w14:textId="77777777" w:rsidR="0099736E" w:rsidRPr="0099736E" w:rsidRDefault="0099736E" w:rsidP="0099736E">
            <w:pPr>
              <w:numPr>
                <w:ilvl w:val="0"/>
                <w:numId w:val="8"/>
              </w:numPr>
              <w:contextualSpacing/>
            </w:pPr>
            <w:r w:rsidRPr="0099736E">
              <w:t>Hospital Census</w:t>
            </w:r>
          </w:p>
          <w:p w14:paraId="4B6E6405" w14:textId="77777777" w:rsidR="0099736E" w:rsidRPr="0099736E" w:rsidRDefault="0099736E" w:rsidP="0099736E">
            <w:pPr>
              <w:numPr>
                <w:ilvl w:val="0"/>
                <w:numId w:val="8"/>
              </w:numPr>
              <w:contextualSpacing/>
            </w:pPr>
            <w:r w:rsidRPr="0099736E">
              <w:t>Prior SNF Type</w:t>
            </w:r>
          </w:p>
          <w:p w14:paraId="64FFFA8B" w14:textId="77777777" w:rsidR="0099736E" w:rsidRPr="0099736E" w:rsidRDefault="0099736E" w:rsidP="0099736E">
            <w:pPr>
              <w:numPr>
                <w:ilvl w:val="0"/>
                <w:numId w:val="8"/>
              </w:numPr>
              <w:contextualSpacing/>
            </w:pPr>
            <w:r w:rsidRPr="0099736E">
              <w:t>Hospitalization: Surgical or Medical</w:t>
            </w:r>
          </w:p>
          <w:p w14:paraId="4B3B8175" w14:textId="77777777" w:rsidR="0099736E" w:rsidRPr="0099736E" w:rsidRDefault="0099736E" w:rsidP="0099736E">
            <w:pPr>
              <w:numPr>
                <w:ilvl w:val="0"/>
                <w:numId w:val="8"/>
              </w:numPr>
              <w:contextualSpacing/>
            </w:pPr>
            <w:r w:rsidRPr="0099736E">
              <w:t xml:space="preserve">Direct hospital </w:t>
            </w:r>
            <w:proofErr w:type="gramStart"/>
            <w:r w:rsidRPr="0099736E">
              <w:t>admit</w:t>
            </w:r>
            <w:proofErr w:type="gramEnd"/>
            <w:r w:rsidRPr="0099736E">
              <w:t xml:space="preserve"> from SNF</w:t>
            </w:r>
          </w:p>
          <w:p w14:paraId="54198463" w14:textId="6707ADC2" w:rsidR="0099736E" w:rsidRPr="0099736E" w:rsidRDefault="0099736E" w:rsidP="0099736E">
            <w:pPr>
              <w:contextualSpacing/>
            </w:pPr>
            <w:r w:rsidRPr="0099736E">
              <w:t>PF5 variables</w:t>
            </w:r>
            <w:r w:rsidR="00540292">
              <w:t xml:space="preserve"> (key covariable of interest)</w:t>
            </w:r>
            <w:r w:rsidRPr="0099736E">
              <w:t>:</w:t>
            </w:r>
          </w:p>
          <w:p w14:paraId="71F8BE07" w14:textId="77777777" w:rsidR="0099736E" w:rsidRPr="0099736E" w:rsidRDefault="0099736E" w:rsidP="0099736E">
            <w:pPr>
              <w:numPr>
                <w:ilvl w:val="0"/>
                <w:numId w:val="9"/>
              </w:numPr>
              <w:contextualSpacing/>
            </w:pPr>
            <w:r w:rsidRPr="0099736E">
              <w:t>First CLOF</w:t>
            </w:r>
          </w:p>
          <w:p w14:paraId="6E9EFA3E" w14:textId="77777777" w:rsidR="0099736E" w:rsidRPr="0099736E" w:rsidRDefault="0099736E" w:rsidP="0099736E">
            <w:pPr>
              <w:numPr>
                <w:ilvl w:val="0"/>
                <w:numId w:val="9"/>
              </w:numPr>
              <w:contextualSpacing/>
            </w:pPr>
            <w:r w:rsidRPr="0099736E">
              <w:t>First PLOF</w:t>
            </w:r>
          </w:p>
          <w:p w14:paraId="44F0A923" w14:textId="5268D1D4" w:rsidR="00684CEA" w:rsidRPr="008A7C90" w:rsidRDefault="0099736E" w:rsidP="00684CEA">
            <w:pPr>
              <w:numPr>
                <w:ilvl w:val="0"/>
                <w:numId w:val="9"/>
              </w:numPr>
              <w:contextualSpacing/>
            </w:pPr>
            <w:r w:rsidRPr="0099736E">
              <w:t>CLOF/PLOF Ratio</w:t>
            </w:r>
          </w:p>
        </w:tc>
      </w:tr>
      <w:tr w:rsidR="00E8348C" w:rsidRPr="008A7C90" w14:paraId="7840AA83" w14:textId="77777777" w:rsidTr="19A05A99">
        <w:trPr>
          <w:trHeight w:val="1061"/>
        </w:trPr>
        <w:tc>
          <w:tcPr>
            <w:tcW w:w="2638" w:type="dxa"/>
          </w:tcPr>
          <w:p w14:paraId="13156944" w14:textId="77777777" w:rsidR="00E8348C" w:rsidRPr="003C0946" w:rsidRDefault="00E8348C" w:rsidP="005D5EA7">
            <w:pPr>
              <w:spacing w:after="160" w:line="259" w:lineRule="auto"/>
              <w:contextualSpacing/>
              <w:rPr>
                <w:b/>
                <w:bCs/>
              </w:rPr>
            </w:pPr>
            <w:r w:rsidRPr="003C0946">
              <w:rPr>
                <w:b/>
                <w:bCs/>
              </w:rPr>
              <w:t>Outcomes/Key Findings</w:t>
            </w:r>
          </w:p>
        </w:tc>
        <w:tc>
          <w:tcPr>
            <w:tcW w:w="7707" w:type="dxa"/>
          </w:tcPr>
          <w:p w14:paraId="1A8176A3" w14:textId="2C4E5BAB" w:rsidR="00540292" w:rsidRDefault="00540292" w:rsidP="003C0946">
            <w:r>
              <w:t>We had 3 major findings in our analyses:</w:t>
            </w:r>
          </w:p>
          <w:p w14:paraId="550097B6" w14:textId="3AF34962" w:rsidR="00E8348C" w:rsidRDefault="00576333" w:rsidP="00576333">
            <w:pPr>
              <w:pStyle w:val="ListParagraph"/>
              <w:numPr>
                <w:ilvl w:val="0"/>
                <w:numId w:val="11"/>
              </w:numPr>
            </w:pPr>
            <w:r>
              <w:t>CLOF and PLOF</w:t>
            </w:r>
            <w:r w:rsidR="00540292">
              <w:t xml:space="preserve"> significantly</w:t>
            </w:r>
            <w:r>
              <w:t xml:space="preserve"> improved the models’ AUC for all outcomes</w:t>
            </w:r>
            <w:r w:rsidR="00C45B1E">
              <w:t xml:space="preserve">. The AUC for models with all predictors </w:t>
            </w:r>
            <w:r w:rsidR="00540292">
              <w:t xml:space="preserve">with </w:t>
            </w:r>
            <w:r w:rsidR="00C45B1E">
              <w:t>CLOF</w:t>
            </w:r>
            <w:r w:rsidR="004B0792">
              <w:t>&amp;</w:t>
            </w:r>
            <w:r w:rsidR="00C45B1E">
              <w:t xml:space="preserve">PLOF vs. </w:t>
            </w:r>
            <w:r w:rsidR="00540292">
              <w:t>predictors without</w:t>
            </w:r>
            <w:r w:rsidR="00C45B1E">
              <w:t xml:space="preserve"> CLOF</w:t>
            </w:r>
            <w:r w:rsidR="004B0792">
              <w:t>&amp;</w:t>
            </w:r>
            <w:r w:rsidR="00C45B1E">
              <w:t>PLOF were</w:t>
            </w:r>
            <w:r w:rsidR="00021B77">
              <w:t xml:space="preserve"> (Figure 1)</w:t>
            </w:r>
            <w:r w:rsidR="00C45B1E">
              <w:t>:</w:t>
            </w:r>
          </w:p>
          <w:p w14:paraId="18889FA3" w14:textId="7B47FBEE" w:rsidR="00576333" w:rsidRDefault="00576333" w:rsidP="00576333">
            <w:pPr>
              <w:pStyle w:val="ListParagraph"/>
              <w:numPr>
                <w:ilvl w:val="1"/>
                <w:numId w:val="11"/>
              </w:numPr>
            </w:pPr>
            <w:r>
              <w:t>SNF discharge</w:t>
            </w:r>
            <w:r w:rsidR="00C45B1E">
              <w:t xml:space="preserve"> (including custodial)</w:t>
            </w:r>
            <w:r>
              <w:t>: 0.87 vs 0.78</w:t>
            </w:r>
          </w:p>
          <w:p w14:paraId="73C122BD" w14:textId="3F20BA9F" w:rsidR="00576333" w:rsidRDefault="00006850" w:rsidP="00576333">
            <w:pPr>
              <w:pStyle w:val="ListParagraph"/>
              <w:numPr>
                <w:ilvl w:val="1"/>
                <w:numId w:val="11"/>
              </w:numPr>
            </w:pPr>
            <w:proofErr w:type="spellStart"/>
            <w:r>
              <w:t>Recepti</w:t>
            </w:r>
            <w:proofErr w:type="spellEnd"/>
            <w:r>
              <w:t xml:space="preserve"> of </w:t>
            </w:r>
            <w:r w:rsidR="00576333">
              <w:t>PT Consult</w:t>
            </w:r>
            <w:r>
              <w:t xml:space="preserve"> during hospitalization</w:t>
            </w:r>
            <w:r w:rsidR="00576333">
              <w:t>: 0.78 vs 0.70</w:t>
            </w:r>
          </w:p>
          <w:p w14:paraId="09E6D762" w14:textId="0787E540" w:rsidR="00576333" w:rsidRDefault="00006850" w:rsidP="00576333">
            <w:pPr>
              <w:pStyle w:val="ListParagraph"/>
              <w:numPr>
                <w:ilvl w:val="1"/>
                <w:numId w:val="11"/>
              </w:numPr>
            </w:pPr>
            <w:r>
              <w:t xml:space="preserve">Limited achievement of </w:t>
            </w:r>
            <w:r w:rsidR="00576333">
              <w:t>mobility</w:t>
            </w:r>
            <w:r>
              <w:t xml:space="preserve"> during admission</w:t>
            </w:r>
            <w:r w:rsidR="00576333">
              <w:t>: 0.89 vs. 0.76</w:t>
            </w:r>
          </w:p>
          <w:p w14:paraId="19F4755F" w14:textId="1B0E4EAE" w:rsidR="00576333" w:rsidRDefault="00576333" w:rsidP="00576333">
            <w:pPr>
              <w:pStyle w:val="ListParagraph"/>
              <w:numPr>
                <w:ilvl w:val="1"/>
                <w:numId w:val="11"/>
              </w:numPr>
            </w:pPr>
            <w:r>
              <w:t>Inpatient death: 0.84 vs 0.8</w:t>
            </w:r>
            <w:r w:rsidR="004B0792">
              <w:t>2</w:t>
            </w:r>
          </w:p>
          <w:p w14:paraId="5485AE29" w14:textId="77777777" w:rsidR="00576333" w:rsidRDefault="00576333" w:rsidP="00576333">
            <w:pPr>
              <w:pStyle w:val="ListParagraph"/>
              <w:numPr>
                <w:ilvl w:val="1"/>
                <w:numId w:val="11"/>
              </w:numPr>
            </w:pPr>
            <w:r>
              <w:t>30-day mortality: 0.84 vs 0.83</w:t>
            </w:r>
          </w:p>
          <w:p w14:paraId="301DED47" w14:textId="03ACB639" w:rsidR="004F7DBC" w:rsidRDefault="00006850" w:rsidP="00576333">
            <w:pPr>
              <w:pStyle w:val="ListParagraph"/>
              <w:numPr>
                <w:ilvl w:val="0"/>
                <w:numId w:val="11"/>
              </w:numPr>
            </w:pPr>
            <w:r>
              <w:t xml:space="preserve">Among models </w:t>
            </w:r>
            <w:r w:rsidR="004F7DBC">
              <w:t>with all predictors including CLOF</w:t>
            </w:r>
            <w:r w:rsidR="004B0792">
              <w:t>&amp;</w:t>
            </w:r>
            <w:r w:rsidR="004F7DBC">
              <w:t>PLOF</w:t>
            </w:r>
            <w:r>
              <w:t>, we found that:</w:t>
            </w:r>
          </w:p>
          <w:p w14:paraId="4EFF40E9" w14:textId="4938A827" w:rsidR="00576333" w:rsidRDefault="00006850" w:rsidP="004F7DBC">
            <w:pPr>
              <w:pStyle w:val="ListParagraph"/>
              <w:numPr>
                <w:ilvl w:val="1"/>
                <w:numId w:val="11"/>
              </w:numPr>
            </w:pPr>
            <w:r>
              <w:t>The number-needed-to-evaluate metric (a measure of clinical workload)</w:t>
            </w:r>
            <w:r w:rsidR="00576333">
              <w:t xml:space="preserve"> </w:t>
            </w:r>
            <w:r w:rsidR="00C45B1E">
              <w:t xml:space="preserve">for </w:t>
            </w:r>
            <w:r w:rsidR="00576333">
              <w:t>was lowest</w:t>
            </w:r>
            <w:r>
              <w:t>, when including PF measures,</w:t>
            </w:r>
            <w:r w:rsidR="00576333">
              <w:t xml:space="preserve"> for the non-mortality outcomes</w:t>
            </w:r>
            <w:r w:rsidR="00C45B1E">
              <w:t xml:space="preserve"> for all sensitivity values</w:t>
            </w:r>
            <w:r w:rsidR="00077647">
              <w:t xml:space="preserve"> (Figure 2)</w:t>
            </w:r>
          </w:p>
          <w:p w14:paraId="0DD5F856" w14:textId="696B3F01" w:rsidR="00A55D9C" w:rsidRDefault="00A55D9C" w:rsidP="00A55D9C">
            <w:pPr>
              <w:pStyle w:val="ListParagraph"/>
              <w:numPr>
                <w:ilvl w:val="1"/>
                <w:numId w:val="11"/>
              </w:numPr>
              <w:spacing w:after="160" w:line="259" w:lineRule="auto"/>
            </w:pPr>
            <w:r w:rsidRPr="00A55D9C">
              <w:lastRenderedPageBreak/>
              <w:t>At high sensitivity (~67%), clinical workup to detection ratio seems sustainable (i.e., evaluate &lt;3 patients to identify 1 who will be discharged to SNF)</w:t>
            </w:r>
          </w:p>
          <w:p w14:paraId="01CB7252" w14:textId="1CBC0666" w:rsidR="00576333" w:rsidRDefault="00006850" w:rsidP="004F7DBC">
            <w:pPr>
              <w:pStyle w:val="ListParagraph"/>
              <w:numPr>
                <w:ilvl w:val="1"/>
                <w:numId w:val="11"/>
              </w:numPr>
            </w:pPr>
            <w:r>
              <w:t xml:space="preserve">When comparing risk-adjusted outcomes over all KPNC facilities, </w:t>
            </w:r>
            <w:r w:rsidR="00576333">
              <w:t xml:space="preserve">5 facilities had lower O/E </w:t>
            </w:r>
            <w:r w:rsidR="00576333" w:rsidRPr="001F7F5F">
              <w:rPr>
                <w:b/>
                <w:bCs/>
              </w:rPr>
              <w:t>SNF discharge</w:t>
            </w:r>
            <w:r w:rsidR="00576333">
              <w:t xml:space="preserve"> ratios and 5 facilities had O/E higher </w:t>
            </w:r>
            <w:r w:rsidR="004F7DBC">
              <w:t>ratios relative to 1</w:t>
            </w:r>
            <w:r w:rsidR="00A76137">
              <w:t xml:space="preserve"> (Figure 3)</w:t>
            </w:r>
          </w:p>
          <w:p w14:paraId="2E7F1F99" w14:textId="3EABD210" w:rsidR="00FB49CC" w:rsidRDefault="00FB49CC" w:rsidP="004F7DBC">
            <w:pPr>
              <w:pStyle w:val="ListParagraph"/>
              <w:numPr>
                <w:ilvl w:val="1"/>
                <w:numId w:val="11"/>
              </w:numPr>
            </w:pPr>
            <w:r>
              <w:t xml:space="preserve">9 facilities had lower O/E </w:t>
            </w:r>
            <w:r w:rsidRPr="001F7F5F">
              <w:rPr>
                <w:b/>
                <w:bCs/>
              </w:rPr>
              <w:t>PT consult</w:t>
            </w:r>
            <w:r>
              <w:t xml:space="preserve"> ratios and 8 facilities had O/E higher </w:t>
            </w:r>
            <w:r w:rsidR="004F7DBC">
              <w:t>ratios relative to 1</w:t>
            </w:r>
            <w:r w:rsidR="00A76137">
              <w:t xml:space="preserve"> (Figure 3)</w:t>
            </w:r>
          </w:p>
          <w:p w14:paraId="26A4EF95" w14:textId="5B85FFC2" w:rsidR="004F7DBC" w:rsidRDefault="00E6195C" w:rsidP="00FB49CC">
            <w:pPr>
              <w:pStyle w:val="ListParagraph"/>
              <w:numPr>
                <w:ilvl w:val="0"/>
                <w:numId w:val="11"/>
              </w:numPr>
            </w:pPr>
            <w:r>
              <w:t xml:space="preserve">The </w:t>
            </w:r>
            <w:r w:rsidR="00C90380">
              <w:t xml:space="preserve">skilled </w:t>
            </w:r>
            <w:r>
              <w:t>SNF</w:t>
            </w:r>
            <w:r w:rsidR="00006850">
              <w:t xml:space="preserve"> (rather than including custodial SNF discharges)</w:t>
            </w:r>
            <w:r>
              <w:t xml:space="preserve"> discharge full model </w:t>
            </w:r>
            <w:r w:rsidR="00C45B1E">
              <w:t>(additional predictors and CLOF</w:t>
            </w:r>
            <w:r w:rsidR="004B0792">
              <w:t>&amp;</w:t>
            </w:r>
            <w:r w:rsidR="00C45B1E">
              <w:t xml:space="preserve">PLOF) </w:t>
            </w:r>
            <w:r w:rsidR="00006850">
              <w:t>exhibited:</w:t>
            </w:r>
          </w:p>
          <w:p w14:paraId="6B1147EE" w14:textId="5C13F999" w:rsidR="00E6195C" w:rsidRDefault="00006850" w:rsidP="004F7DBC">
            <w:pPr>
              <w:pStyle w:val="ListParagraph"/>
              <w:numPr>
                <w:ilvl w:val="1"/>
                <w:numId w:val="11"/>
              </w:numPr>
            </w:pPr>
            <w:r>
              <w:t>Modestly attenuated</w:t>
            </w:r>
            <w:r w:rsidR="00E6195C" w:rsidRPr="00E6195C">
              <w:t xml:space="preserve"> performance (lower AUPRC; similar AUC) </w:t>
            </w:r>
          </w:p>
          <w:p w14:paraId="3FAAD8F5" w14:textId="047CF4BC" w:rsidR="00E6195C" w:rsidRDefault="00E6195C" w:rsidP="004F7DBC">
            <w:pPr>
              <w:pStyle w:val="ListParagraph"/>
              <w:numPr>
                <w:ilvl w:val="2"/>
                <w:numId w:val="11"/>
              </w:numPr>
            </w:pPr>
            <w:r>
              <w:t>AUC non-custodial</w:t>
            </w:r>
            <w:r w:rsidR="00C45B1E">
              <w:t xml:space="preserve"> vs. including custodial: 0.84 vs. 0.87</w:t>
            </w:r>
          </w:p>
          <w:p w14:paraId="48C58652" w14:textId="762B20A3" w:rsidR="00C45B1E" w:rsidRDefault="00C45B1E" w:rsidP="004F7DBC">
            <w:pPr>
              <w:pStyle w:val="ListParagraph"/>
              <w:numPr>
                <w:ilvl w:val="2"/>
                <w:numId w:val="11"/>
              </w:numPr>
            </w:pPr>
            <w:r>
              <w:t>AUPRC non-custodial vs including custodial: 0.3 vs. 0.42</w:t>
            </w:r>
          </w:p>
          <w:p w14:paraId="7B9E0DC0" w14:textId="6C8C7BFD" w:rsidR="00C90380" w:rsidRDefault="00C90380" w:rsidP="00C90380">
            <w:pPr>
              <w:pStyle w:val="ListParagraph"/>
              <w:numPr>
                <w:ilvl w:val="1"/>
                <w:numId w:val="11"/>
              </w:numPr>
            </w:pPr>
            <w:r>
              <w:t>Higher NNE</w:t>
            </w:r>
            <w:r w:rsidR="00006850">
              <w:t xml:space="preserve"> (clinical workload)</w:t>
            </w:r>
            <w:r>
              <w:t xml:space="preserve"> for the same sensitivity for the skilled SNF model compared to the model including custodial </w:t>
            </w:r>
            <w:r w:rsidR="00A76137">
              <w:t xml:space="preserve">(Figure </w:t>
            </w:r>
            <w:r w:rsidR="00021B77">
              <w:t>4</w:t>
            </w:r>
            <w:r w:rsidR="00A76137">
              <w:t>)</w:t>
            </w:r>
          </w:p>
          <w:p w14:paraId="1F16CE02" w14:textId="5B0C3AE4" w:rsidR="00021B77" w:rsidRDefault="00021B77" w:rsidP="00021B77">
            <w:pPr>
              <w:pStyle w:val="ListParagraph"/>
              <w:numPr>
                <w:ilvl w:val="1"/>
                <w:numId w:val="11"/>
              </w:numPr>
            </w:pPr>
            <w:r>
              <w:t xml:space="preserve">Inter-facility variation </w:t>
            </w:r>
            <w:r w:rsidR="009042DC">
              <w:t>decreased</w:t>
            </w:r>
          </w:p>
          <w:p w14:paraId="3774006A" w14:textId="577B07CC" w:rsidR="00C45B1E" w:rsidRPr="008A7C90" w:rsidRDefault="00021B77" w:rsidP="00C45B1E">
            <w:pPr>
              <w:pStyle w:val="ListParagraph"/>
              <w:numPr>
                <w:ilvl w:val="2"/>
                <w:numId w:val="11"/>
              </w:numPr>
            </w:pPr>
            <w:r>
              <w:t>4 facilities had lower O/E ratios and 3 facilities had higher O/E ratios relative to 1 (Figure 5)</w:t>
            </w:r>
          </w:p>
        </w:tc>
      </w:tr>
      <w:tr w:rsidR="00E8348C" w:rsidRPr="008A7C90" w14:paraId="1AFEE115" w14:textId="77777777" w:rsidTr="19A05A99">
        <w:trPr>
          <w:trHeight w:val="705"/>
        </w:trPr>
        <w:tc>
          <w:tcPr>
            <w:tcW w:w="2638" w:type="dxa"/>
          </w:tcPr>
          <w:p w14:paraId="63DA52C8" w14:textId="77777777" w:rsidR="00E8348C" w:rsidRPr="003C0946" w:rsidRDefault="00E8348C" w:rsidP="005D5EA7">
            <w:pPr>
              <w:spacing w:after="160" w:line="259" w:lineRule="auto"/>
              <w:contextualSpacing/>
              <w:rPr>
                <w:b/>
                <w:bCs/>
              </w:rPr>
            </w:pPr>
            <w:r w:rsidRPr="003C0946">
              <w:rPr>
                <w:b/>
                <w:bCs/>
              </w:rPr>
              <w:lastRenderedPageBreak/>
              <w:t>Resulting Action/Change</w:t>
            </w:r>
          </w:p>
        </w:tc>
        <w:tc>
          <w:tcPr>
            <w:tcW w:w="7707" w:type="dxa"/>
          </w:tcPr>
          <w:p w14:paraId="49A6B1C6" w14:textId="7DB1BFC0" w:rsidR="00E8348C" w:rsidRPr="008A7C90" w:rsidRDefault="00A30DBD">
            <w:pPr>
              <w:contextualSpacing/>
            </w:pPr>
            <w:r>
              <w:t>Our study demonstrated a significant association between CLOF&amp;PLOF and disposition status from the hospital, namely discharge to SNF</w:t>
            </w:r>
            <w:r w:rsidR="007460D1">
              <w:t>, that could be predicted on the first day of hospitalization</w:t>
            </w:r>
            <w:r>
              <w:t xml:space="preserve">. We also refined </w:t>
            </w:r>
            <w:r w:rsidR="00767607">
              <w:t xml:space="preserve">and tested our predictive model and determined that it is clinically and operationally sustainable – at high sensitivity, less than 3 patients require evaluation to detect 1 patient who will be discharged to SNF. </w:t>
            </w:r>
            <w:r>
              <w:t xml:space="preserve">The goal of our research was to </w:t>
            </w:r>
            <w:r w:rsidR="0061617C">
              <w:t>determine</w:t>
            </w:r>
            <w:r>
              <w:t xml:space="preserve"> if such an association exists and then to </w:t>
            </w:r>
            <w:r w:rsidR="0061617C">
              <w:t>discover</w:t>
            </w:r>
            <w:r>
              <w:t xml:space="preserve"> if a patient’s disposition status is modifiable by measures such as the timing and dose of physical therapy consultation. We have presented our preliminary results at </w:t>
            </w:r>
            <w:r w:rsidR="007460D1">
              <w:t xml:space="preserve">several </w:t>
            </w:r>
            <w:r>
              <w:t xml:space="preserve">regional meetings to SNF and Mobility leadership </w:t>
            </w:r>
            <w:r w:rsidR="0061617C">
              <w:t xml:space="preserve">and have mapped out the course and trajectory of a patient’s journey from pre-hospitalization disposition to discharge to </w:t>
            </w:r>
            <w:r>
              <w:t xml:space="preserve">understand </w:t>
            </w:r>
            <w:r w:rsidR="00767607">
              <w:t>how our model</w:t>
            </w:r>
            <w:r w:rsidR="0061617C">
              <w:t xml:space="preserve"> can be utilized clinically within KPNC.</w:t>
            </w:r>
            <w:r w:rsidR="007460D1">
              <w:t xml:space="preserve"> There is great interest in using our findings to assist with inpatient discharge disposition as well as interest in understanding how physical therapy consultation can improve outcomes related to hospital admission.</w:t>
            </w:r>
          </w:p>
        </w:tc>
      </w:tr>
      <w:tr w:rsidR="00420901" w:rsidRPr="008A7C90" w14:paraId="0143892B" w14:textId="77777777" w:rsidTr="19A05A99">
        <w:trPr>
          <w:trHeight w:val="431"/>
        </w:trPr>
        <w:tc>
          <w:tcPr>
            <w:tcW w:w="2638" w:type="dxa"/>
          </w:tcPr>
          <w:p w14:paraId="537F038A" w14:textId="51221B70" w:rsidR="00420901" w:rsidRPr="003C0946" w:rsidRDefault="00420901" w:rsidP="005D5EA7">
            <w:pPr>
              <w:contextualSpacing/>
              <w:rPr>
                <w:b/>
                <w:bCs/>
              </w:rPr>
            </w:pPr>
            <w:r w:rsidRPr="003C0946">
              <w:rPr>
                <w:b/>
                <w:bCs/>
              </w:rPr>
              <w:t>Additional Recommendations</w:t>
            </w:r>
          </w:p>
        </w:tc>
        <w:tc>
          <w:tcPr>
            <w:tcW w:w="7707" w:type="dxa"/>
          </w:tcPr>
          <w:p w14:paraId="4AB79E5F" w14:textId="22B89E63" w:rsidR="00420901" w:rsidRPr="00AD1E05" w:rsidRDefault="00A30DBD" w:rsidP="00426C21">
            <w:pPr>
              <w:contextualSpacing/>
            </w:pPr>
            <w:r w:rsidRPr="00AD1E05">
              <w:t>N/A</w:t>
            </w:r>
          </w:p>
        </w:tc>
      </w:tr>
      <w:tr w:rsidR="00E8348C" w:rsidRPr="008A7C90" w14:paraId="5C20182D" w14:textId="77777777" w:rsidTr="19A05A99">
        <w:trPr>
          <w:trHeight w:val="431"/>
        </w:trPr>
        <w:tc>
          <w:tcPr>
            <w:tcW w:w="2638" w:type="dxa"/>
          </w:tcPr>
          <w:p w14:paraId="3F0DA88A" w14:textId="77777777" w:rsidR="00E8348C" w:rsidRPr="003C0946" w:rsidRDefault="00E8348C" w:rsidP="005D5EA7">
            <w:pPr>
              <w:spacing w:after="160" w:line="259" w:lineRule="auto"/>
              <w:contextualSpacing/>
              <w:rPr>
                <w:b/>
                <w:bCs/>
              </w:rPr>
            </w:pPr>
            <w:r w:rsidRPr="003C0946">
              <w:rPr>
                <w:b/>
                <w:bCs/>
              </w:rPr>
              <w:t>Implementation Tools</w:t>
            </w:r>
            <w:r w:rsidRPr="003C0946">
              <w:rPr>
                <w:b/>
                <w:bCs/>
              </w:rPr>
              <w:tab/>
            </w:r>
          </w:p>
        </w:tc>
        <w:tc>
          <w:tcPr>
            <w:tcW w:w="7707" w:type="dxa"/>
          </w:tcPr>
          <w:p w14:paraId="0A077BAB" w14:textId="7690B194" w:rsidR="00E8348C" w:rsidRPr="00AD1E05" w:rsidRDefault="00AD1E05" w:rsidP="00426C21">
            <w:pPr>
              <w:contextualSpacing/>
            </w:pPr>
            <w:r w:rsidRPr="00AD1E05">
              <w:t xml:space="preserve">We plan to develop tools </w:t>
            </w:r>
            <w:r w:rsidR="00E75F57">
              <w:t xml:space="preserve">and workflows </w:t>
            </w:r>
            <w:r w:rsidRPr="00AD1E05">
              <w:t>using the PF-5 to target these interventions that will be built into the EHR.</w:t>
            </w:r>
            <w:r w:rsidR="00E75F57">
              <w:t xml:space="preserve"> Since the PF-5 is already available in the EHR today and is a standard part of nursing documentation, additional teams (inpatient operations/quality, physical therapy) are identifying potential </w:t>
            </w:r>
            <w:r w:rsidRPr="00AD1E05">
              <w:t xml:space="preserve"> </w:t>
            </w:r>
          </w:p>
        </w:tc>
      </w:tr>
      <w:tr w:rsidR="00E8348C" w:rsidRPr="008A7C90" w14:paraId="2ACA0AFD" w14:textId="77777777" w:rsidTr="19A05A99">
        <w:trPr>
          <w:trHeight w:val="552"/>
        </w:trPr>
        <w:tc>
          <w:tcPr>
            <w:tcW w:w="2638" w:type="dxa"/>
          </w:tcPr>
          <w:p w14:paraId="564C5402" w14:textId="3398FBDC" w:rsidR="00E8348C" w:rsidRPr="003C0946" w:rsidRDefault="00E8348C" w:rsidP="005D5EA7">
            <w:pPr>
              <w:spacing w:after="160" w:line="259" w:lineRule="auto"/>
              <w:contextualSpacing/>
              <w:rPr>
                <w:b/>
                <w:bCs/>
              </w:rPr>
            </w:pPr>
            <w:r w:rsidRPr="003C0946">
              <w:rPr>
                <w:b/>
                <w:bCs/>
              </w:rPr>
              <w:t>Implementation</w:t>
            </w:r>
            <w:r w:rsidR="007D12B1" w:rsidRPr="003C0946">
              <w:rPr>
                <w:b/>
                <w:bCs/>
              </w:rPr>
              <w:t xml:space="preserve"> and Follow-up</w:t>
            </w:r>
            <w:r w:rsidRPr="003C0946">
              <w:rPr>
                <w:b/>
                <w:bCs/>
              </w:rPr>
              <w:t xml:space="preserve"> Measure</w:t>
            </w:r>
            <w:r w:rsidR="007D12B1" w:rsidRPr="003C0946">
              <w:rPr>
                <w:b/>
                <w:bCs/>
              </w:rPr>
              <w:t>s</w:t>
            </w:r>
          </w:p>
        </w:tc>
        <w:tc>
          <w:tcPr>
            <w:tcW w:w="7707" w:type="dxa"/>
          </w:tcPr>
          <w:p w14:paraId="493FAC83" w14:textId="4D99021D" w:rsidR="00E8348C" w:rsidRPr="00AD1E05" w:rsidRDefault="00AD1E05" w:rsidP="00E8348C">
            <w:pPr>
              <w:contextualSpacing/>
            </w:pPr>
            <w:r w:rsidRPr="00AD1E05">
              <w:t xml:space="preserve">With regional leadership support, we plan to </w:t>
            </w:r>
            <w:r w:rsidR="00E75F57">
              <w:t xml:space="preserve">further develop workflows to impact </w:t>
            </w:r>
            <w:r w:rsidRPr="00AD1E05">
              <w:t>hospitalized patients and track metrics and outcomes of healthcare utilization using the patient mobility dashboard that has already been built and is currently active – these include frequency of PF-5 T-score, PT consults, max mobility score, patient disposition and falls with and without injury. The patient mobility dashboard was initially rolled out at pilot test sites but now has reach across all KPNC hospitals. Effectiveness of the program can be measured by tracking metrics regularly (monthly, quarterly, annually) and by conducting subsequent analyses.</w:t>
            </w:r>
          </w:p>
        </w:tc>
      </w:tr>
      <w:tr w:rsidR="00E8348C" w:rsidRPr="008A7C90" w14:paraId="088024D0" w14:textId="77777777" w:rsidTr="19A05A99">
        <w:trPr>
          <w:trHeight w:val="538"/>
        </w:trPr>
        <w:tc>
          <w:tcPr>
            <w:tcW w:w="2638" w:type="dxa"/>
          </w:tcPr>
          <w:p w14:paraId="6FE7C24E" w14:textId="5D6C4BDA" w:rsidR="00E8348C" w:rsidRPr="003C0946" w:rsidRDefault="00E8348C" w:rsidP="00E8348C">
            <w:pPr>
              <w:contextualSpacing/>
              <w:rPr>
                <w:b/>
                <w:bCs/>
              </w:rPr>
            </w:pPr>
            <w:r w:rsidRPr="003C0946">
              <w:rPr>
                <w:b/>
                <w:bCs/>
              </w:rPr>
              <w:t xml:space="preserve">Reference(s) </w:t>
            </w:r>
          </w:p>
          <w:p w14:paraId="241446E1" w14:textId="5EA15FDE" w:rsidR="00E8348C" w:rsidRPr="003C0946" w:rsidRDefault="00E8348C" w:rsidP="005D5EA7">
            <w:pPr>
              <w:spacing w:after="160" w:line="259" w:lineRule="auto"/>
              <w:contextualSpacing/>
              <w:rPr>
                <w:b/>
                <w:bCs/>
              </w:rPr>
            </w:pPr>
          </w:p>
        </w:tc>
        <w:tc>
          <w:tcPr>
            <w:tcW w:w="7707" w:type="dxa"/>
          </w:tcPr>
          <w:p w14:paraId="2645F9D5" w14:textId="006A26CD" w:rsidR="00340113" w:rsidRDefault="00340113" w:rsidP="00340113">
            <w:pPr>
              <w:tabs>
                <w:tab w:val="left" w:pos="1800"/>
                <w:tab w:val="left" w:pos="5940"/>
              </w:tabs>
            </w:pPr>
            <w:r w:rsidRPr="004F3DC2">
              <w:t xml:space="preserve">Callahan KE, Lovato L, Miller ME, et al. Self‐reported physical function as a predictor of hospitalization in the lifestyle interventions and independence for </w:t>
            </w:r>
            <w:proofErr w:type="gramStart"/>
            <w:r w:rsidRPr="004F3DC2">
              <w:t>elders</w:t>
            </w:r>
            <w:proofErr w:type="gramEnd"/>
            <w:r w:rsidRPr="004F3DC2">
              <w:t xml:space="preserve"> study. J Am </w:t>
            </w:r>
            <w:proofErr w:type="spellStart"/>
            <w:r w:rsidRPr="004F3DC2">
              <w:t>Geriatr</w:t>
            </w:r>
            <w:proofErr w:type="spellEnd"/>
            <w:r w:rsidRPr="004F3DC2">
              <w:t xml:space="preserve"> Soc. 2018;66(10):1927-1933.</w:t>
            </w:r>
          </w:p>
          <w:p w14:paraId="658E2B88" w14:textId="71C33CCE" w:rsidR="00340113" w:rsidRDefault="00340113" w:rsidP="00340113">
            <w:pPr>
              <w:tabs>
                <w:tab w:val="left" w:pos="1800"/>
                <w:tab w:val="left" w:pos="5940"/>
              </w:tabs>
              <w:contextualSpacing/>
            </w:pPr>
            <w:proofErr w:type="spellStart"/>
            <w:r w:rsidRPr="004F3DC2">
              <w:lastRenderedPageBreak/>
              <w:t>Covinsky</w:t>
            </w:r>
            <w:proofErr w:type="spellEnd"/>
            <w:r w:rsidRPr="004F3DC2">
              <w:t xml:space="preserve"> KE, Palmer RM, Fortinsky RH, et al. Loss of independence in activities of daily living in older adults hospitalized with medical illnesses: increased vulnerability with age. Journal of the American Geriatrics Society. 2003;51(4):451-458.</w:t>
            </w:r>
          </w:p>
          <w:p w14:paraId="1A28E15E" w14:textId="6AE6CA78" w:rsidR="00340113" w:rsidRDefault="00340113" w:rsidP="00340113">
            <w:pPr>
              <w:tabs>
                <w:tab w:val="left" w:pos="1800"/>
                <w:tab w:val="left" w:pos="5940"/>
              </w:tabs>
              <w:contextualSpacing/>
            </w:pPr>
            <w:r w:rsidRPr="004F3DC2">
              <w:t xml:space="preserve">Greysen SR, </w:t>
            </w:r>
            <w:proofErr w:type="spellStart"/>
            <w:r w:rsidRPr="004F3DC2">
              <w:t>Stijacic</w:t>
            </w:r>
            <w:proofErr w:type="spellEnd"/>
            <w:r w:rsidRPr="004F3DC2">
              <w:t xml:space="preserve"> </w:t>
            </w:r>
            <w:proofErr w:type="spellStart"/>
            <w:r w:rsidRPr="004F3DC2">
              <w:t>Cenzer</w:t>
            </w:r>
            <w:proofErr w:type="spellEnd"/>
            <w:r w:rsidRPr="004F3DC2">
              <w:t xml:space="preserve"> I, Auerbach AD, </w:t>
            </w:r>
            <w:proofErr w:type="spellStart"/>
            <w:r w:rsidRPr="004F3DC2">
              <w:t>Covinsky</w:t>
            </w:r>
            <w:proofErr w:type="spellEnd"/>
            <w:r w:rsidRPr="004F3DC2">
              <w:t xml:space="preserve"> KE. Functional impairment and hospital readmission in </w:t>
            </w:r>
            <w:proofErr w:type="spellStart"/>
            <w:r w:rsidRPr="004F3DC2">
              <w:t>medicare</w:t>
            </w:r>
            <w:proofErr w:type="spellEnd"/>
            <w:r w:rsidRPr="004F3DC2">
              <w:t xml:space="preserve"> seniors. JAMA Intern Med. 2015;175(4):559.</w:t>
            </w:r>
          </w:p>
          <w:p w14:paraId="701D11EF" w14:textId="431487C9" w:rsidR="00340113" w:rsidRDefault="00340113" w:rsidP="00340113">
            <w:pPr>
              <w:contextualSpacing/>
            </w:pPr>
            <w:r w:rsidRPr="004F3DC2">
              <w:t>Kallen MA, Brown HE, Hatton JR, et al. New complementary perspectives for inpatient physical function assessment: matched clinician-report and patient-report short form measures from the PROMIS adult physical function item bank. Qual Life Res. 2022;31(7):2201-2212.</w:t>
            </w:r>
          </w:p>
          <w:p w14:paraId="05A9F434" w14:textId="77777777" w:rsidR="00340113" w:rsidRDefault="00340113" w:rsidP="00340113">
            <w:pPr>
              <w:contextualSpacing/>
            </w:pPr>
          </w:p>
          <w:p w14:paraId="69E4C5AB" w14:textId="76713577" w:rsidR="00E8348C" w:rsidRPr="008A7C90" w:rsidRDefault="00684CEA" w:rsidP="00D45D92">
            <w:pPr>
              <w:contextualSpacing/>
            </w:pPr>
            <w:r>
              <w:t>See Table and Figures below</w:t>
            </w:r>
          </w:p>
        </w:tc>
      </w:tr>
      <w:bookmarkEnd w:id="0"/>
    </w:tbl>
    <w:p w14:paraId="7377613A" w14:textId="3AA3415B" w:rsidR="00CB75F2" w:rsidRDefault="00CB75F2" w:rsidP="00746FF7">
      <w:pPr>
        <w:contextualSpacing/>
      </w:pPr>
    </w:p>
    <w:p w14:paraId="240F0991" w14:textId="77777777" w:rsidR="00CB75F2" w:rsidRDefault="00CB75F2">
      <w:r>
        <w:br w:type="page"/>
      </w:r>
    </w:p>
    <w:p w14:paraId="2168FB69" w14:textId="7CC8584A" w:rsidR="006721AA" w:rsidRDefault="00770FF6" w:rsidP="00770FF6">
      <w:pPr>
        <w:contextualSpacing/>
      </w:pPr>
      <w:r>
        <w:lastRenderedPageBreak/>
        <w:t>Targeted Analysis Program: Supplemental Questions</w:t>
      </w:r>
    </w:p>
    <w:p w14:paraId="74134FB4" w14:textId="23E5A4BA" w:rsidR="00770FF6" w:rsidRDefault="00770FF6" w:rsidP="00746FF7">
      <w:pPr>
        <w:contextualSpacing/>
      </w:pPr>
    </w:p>
    <w:p w14:paraId="3BED429F" w14:textId="6DB5D416" w:rsidR="00770FF6" w:rsidRDefault="00770FF6" w:rsidP="00746FF7">
      <w:pPr>
        <w:contextualSpacing/>
      </w:pPr>
      <w:r>
        <w:t>Please answer the below questions in narrative form:</w:t>
      </w:r>
    </w:p>
    <w:p w14:paraId="73963B83" w14:textId="6576039A" w:rsidR="00770FF6" w:rsidRDefault="00770FF6" w:rsidP="00746FF7">
      <w:pPr>
        <w:contextualSpacing/>
      </w:pPr>
    </w:p>
    <w:p w14:paraId="7B752440" w14:textId="21845477" w:rsidR="00770FF6" w:rsidRDefault="00770FF6" w:rsidP="00770FF6">
      <w:pPr>
        <w:pStyle w:val="ListParagraph"/>
        <w:numPr>
          <w:ilvl w:val="0"/>
          <w:numId w:val="1"/>
        </w:numPr>
      </w:pPr>
      <w:r>
        <w:t>Please provide a detailed plan for dissemination of the project results to stakeholders, especially clinical and operational leadership? (Be as specific as possible; up to ½ page)</w:t>
      </w:r>
    </w:p>
    <w:p w14:paraId="6CA91698" w14:textId="02DFF969" w:rsidR="009042DC" w:rsidRDefault="009F4923" w:rsidP="009042DC">
      <w:r>
        <w:t>We have already presented our study findings to clinical and operational leadership at the SNF Strategy Leaders Meeting on April 20</w:t>
      </w:r>
      <w:r w:rsidRPr="009F4923">
        <w:rPr>
          <w:vertAlign w:val="superscript"/>
        </w:rPr>
        <w:t>th</w:t>
      </w:r>
      <w:r>
        <w:t>, 2023, and at the Monthly Mobility Directors &amp; Regional Team Meeting on October 18</w:t>
      </w:r>
      <w:r w:rsidRPr="009F4923">
        <w:rPr>
          <w:vertAlign w:val="superscript"/>
        </w:rPr>
        <w:t>th</w:t>
      </w:r>
      <w:r>
        <w:t xml:space="preserve">, 2023. We have gained insights from these meetings on implementation strategies for </w:t>
      </w:r>
      <w:r w:rsidR="00306324">
        <w:t xml:space="preserve">our PF5 model regionally, with plans to conduct further analyses and follow-up again with our stakeholders as the implementation process moves forward. We are planning to draft and submit a manuscript of our findings to date </w:t>
      </w:r>
      <w:r w:rsidR="007B06A4">
        <w:t>by the end of 2023 / early 2024.</w:t>
      </w:r>
    </w:p>
    <w:p w14:paraId="55F28561" w14:textId="77777777" w:rsidR="00770FF6" w:rsidRDefault="00770FF6" w:rsidP="00770FF6">
      <w:pPr>
        <w:pStyle w:val="ListParagraph"/>
      </w:pPr>
    </w:p>
    <w:p w14:paraId="1F23D031" w14:textId="7C1A8C46" w:rsidR="009042DC" w:rsidRDefault="00770FF6" w:rsidP="009042DC">
      <w:pPr>
        <w:pStyle w:val="ListParagraph"/>
        <w:numPr>
          <w:ilvl w:val="0"/>
          <w:numId w:val="1"/>
        </w:numPr>
      </w:pPr>
      <w:r>
        <w:t xml:space="preserve">Please provide </w:t>
      </w:r>
      <w:r w:rsidR="00A44224">
        <w:t>a draft of manuscript (if applicable).  If no manuscript is planned or in process, please attach tables and figures that outline the results here.</w:t>
      </w:r>
    </w:p>
    <w:p w14:paraId="39B98C79" w14:textId="77777777" w:rsidR="009042DC" w:rsidRPr="00CB75F2" w:rsidRDefault="009042DC" w:rsidP="009042DC">
      <w:pPr>
        <w:contextualSpacing/>
        <w:rPr>
          <w:b/>
          <w:bCs/>
        </w:rPr>
      </w:pPr>
      <w:r w:rsidRPr="00CB75F2">
        <w:rPr>
          <w:b/>
          <w:bCs/>
        </w:rPr>
        <w:t>Table 1. Patient Characteristics</w:t>
      </w:r>
    </w:p>
    <w:tbl>
      <w:tblPr>
        <w:tblW w:w="10440" w:type="dxa"/>
        <w:tblCellMar>
          <w:left w:w="0" w:type="dxa"/>
          <w:right w:w="0" w:type="dxa"/>
        </w:tblCellMar>
        <w:tblLook w:val="0600" w:firstRow="0" w:lastRow="0" w:firstColumn="0" w:lastColumn="0" w:noHBand="1" w:noVBand="1"/>
      </w:tblPr>
      <w:tblGrid>
        <w:gridCol w:w="3680"/>
        <w:gridCol w:w="1660"/>
        <w:gridCol w:w="2720"/>
        <w:gridCol w:w="2380"/>
      </w:tblGrid>
      <w:tr w:rsidR="009042DC" w:rsidRPr="00684CEA" w14:paraId="065BE37E" w14:textId="77777777" w:rsidTr="00EE3799">
        <w:trPr>
          <w:trHeight w:val="266"/>
          <w:tblHeader/>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29" w:type="dxa"/>
              <w:left w:w="29" w:type="dxa"/>
              <w:bottom w:w="34" w:type="dxa"/>
              <w:right w:w="29" w:type="dxa"/>
            </w:tcMar>
            <w:vAlign w:val="center"/>
            <w:hideMark/>
          </w:tcPr>
          <w:p w14:paraId="1E4EBDA6" w14:textId="77777777" w:rsidR="009042DC" w:rsidRPr="00684CEA" w:rsidRDefault="009042DC" w:rsidP="00EE3799">
            <w:pPr>
              <w:spacing w:after="0" w:line="240" w:lineRule="auto"/>
              <w:contextualSpacing/>
              <w:rPr>
                <w:rFonts w:cstheme="minorHAnsi"/>
              </w:rPr>
            </w:pPr>
            <w:r w:rsidRPr="00684CEA">
              <w:rPr>
                <w:rFonts w:cstheme="minorHAnsi"/>
                <w:b/>
                <w:bCs/>
              </w:rPr>
              <w:t>Characteristic</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29" w:type="dxa"/>
              <w:left w:w="29" w:type="dxa"/>
              <w:bottom w:w="34" w:type="dxa"/>
              <w:right w:w="29" w:type="dxa"/>
            </w:tcMar>
            <w:vAlign w:val="center"/>
            <w:hideMark/>
          </w:tcPr>
          <w:p w14:paraId="4DCE5761" w14:textId="77777777" w:rsidR="009042DC" w:rsidRPr="00684CEA" w:rsidRDefault="009042DC" w:rsidP="00EE3799">
            <w:pPr>
              <w:spacing w:after="0" w:line="240" w:lineRule="auto"/>
              <w:contextualSpacing/>
              <w:rPr>
                <w:rFonts w:cstheme="minorHAnsi"/>
              </w:rPr>
            </w:pPr>
            <w:r w:rsidRPr="00684CEA">
              <w:rPr>
                <w:rFonts w:cstheme="minorHAnsi"/>
                <w:b/>
                <w:bCs/>
              </w:rPr>
              <w:t>Missing</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29" w:type="dxa"/>
              <w:left w:w="29" w:type="dxa"/>
              <w:bottom w:w="34" w:type="dxa"/>
              <w:right w:w="29" w:type="dxa"/>
            </w:tcMar>
            <w:vAlign w:val="center"/>
            <w:hideMark/>
          </w:tcPr>
          <w:p w14:paraId="7FFB086A" w14:textId="77777777" w:rsidR="009042DC" w:rsidRPr="00684CEA" w:rsidRDefault="009042DC" w:rsidP="00EE3799">
            <w:pPr>
              <w:spacing w:after="0" w:line="240" w:lineRule="auto"/>
              <w:contextualSpacing/>
              <w:rPr>
                <w:rFonts w:cstheme="minorHAnsi"/>
              </w:rPr>
            </w:pPr>
            <w:r w:rsidRPr="00684CEA">
              <w:rPr>
                <w:rFonts w:cstheme="minorHAnsi"/>
                <w:b/>
                <w:bCs/>
              </w:rPr>
              <w:t>No SNF</w:t>
            </w:r>
            <w:r w:rsidRPr="00684CEA">
              <w:rPr>
                <w:rFonts w:cstheme="minorHAnsi"/>
              </w:rPr>
              <w:t>, N = 104,074</w:t>
            </w:r>
            <w:r w:rsidRPr="00684CEA">
              <w:rPr>
                <w:rFonts w:cstheme="minorHAnsi"/>
                <w:i/>
                <w:iCs/>
                <w:vertAlign w:val="superscript"/>
              </w:rPr>
              <w:t>1</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29" w:type="dxa"/>
              <w:left w:w="29" w:type="dxa"/>
              <w:bottom w:w="34" w:type="dxa"/>
              <w:right w:w="29" w:type="dxa"/>
            </w:tcMar>
            <w:vAlign w:val="center"/>
            <w:hideMark/>
          </w:tcPr>
          <w:p w14:paraId="5C7EC517" w14:textId="77777777" w:rsidR="009042DC" w:rsidRPr="00684CEA" w:rsidRDefault="009042DC" w:rsidP="00EE3799">
            <w:pPr>
              <w:spacing w:after="0" w:line="240" w:lineRule="auto"/>
              <w:contextualSpacing/>
              <w:rPr>
                <w:rFonts w:cstheme="minorHAnsi"/>
              </w:rPr>
            </w:pPr>
            <w:r w:rsidRPr="00684CEA">
              <w:rPr>
                <w:rFonts w:cstheme="minorHAnsi"/>
                <w:b/>
                <w:bCs/>
              </w:rPr>
              <w:t>SNF</w:t>
            </w:r>
            <w:r w:rsidRPr="00684CEA">
              <w:rPr>
                <w:rFonts w:cstheme="minorHAnsi"/>
              </w:rPr>
              <w:t>, N = 14,174 (12.0%)</w:t>
            </w:r>
            <w:r w:rsidRPr="00684CEA">
              <w:rPr>
                <w:rFonts w:cstheme="minorHAnsi"/>
                <w:i/>
                <w:iCs/>
                <w:vertAlign w:val="superscript"/>
              </w:rPr>
              <w:t>1</w:t>
            </w:r>
          </w:p>
        </w:tc>
      </w:tr>
      <w:tr w:rsidR="009042DC" w:rsidRPr="00684CEA" w14:paraId="0262688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30" w:type="dxa"/>
              <w:left w:w="90" w:type="dxa"/>
              <w:bottom w:w="30" w:type="dxa"/>
              <w:right w:w="90" w:type="dxa"/>
            </w:tcMar>
            <w:vAlign w:val="center"/>
            <w:hideMark/>
          </w:tcPr>
          <w:p w14:paraId="0E330DFA" w14:textId="77777777" w:rsidR="009042DC" w:rsidRPr="00684CEA" w:rsidRDefault="009042DC" w:rsidP="00EE3799">
            <w:pPr>
              <w:spacing w:after="0" w:line="240" w:lineRule="auto"/>
              <w:contextualSpacing/>
              <w:rPr>
                <w:rFonts w:cstheme="minorHAnsi"/>
              </w:rPr>
            </w:pPr>
            <w:r w:rsidRPr="00684CEA">
              <w:rPr>
                <w:rFonts w:cstheme="minorHAnsi"/>
                <w:b/>
                <w:bCs/>
              </w:rPr>
              <w:t>First CLOF score (Current)</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7ABE1F2" w14:textId="77777777" w:rsidR="009042DC" w:rsidRPr="00684CEA" w:rsidRDefault="009042DC" w:rsidP="00EE3799">
            <w:pPr>
              <w:spacing w:after="0" w:line="240" w:lineRule="auto"/>
              <w:contextualSpacing/>
              <w:rPr>
                <w:rFonts w:cstheme="minorHAnsi"/>
              </w:rPr>
            </w:pPr>
            <w:r w:rsidRPr="00684CEA">
              <w:rPr>
                <w:rFonts w:cstheme="minorHAnsi"/>
              </w:rPr>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807EE9B" w14:textId="77777777" w:rsidR="009042DC" w:rsidRPr="00684CEA" w:rsidRDefault="009042DC" w:rsidP="00EE3799">
            <w:pPr>
              <w:spacing w:after="0" w:line="240" w:lineRule="auto"/>
              <w:contextualSpacing/>
              <w:rPr>
                <w:rFonts w:cstheme="minorHAnsi"/>
              </w:rPr>
            </w:pPr>
            <w:r w:rsidRPr="00684CEA">
              <w:rPr>
                <w:rFonts w:cstheme="minorHAnsi"/>
              </w:rPr>
              <w:t>35.0 (26.0, 45.0)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359AD83" w14:textId="77777777" w:rsidR="009042DC" w:rsidRPr="00684CEA" w:rsidRDefault="009042DC" w:rsidP="00EE3799">
            <w:pPr>
              <w:spacing w:after="0" w:line="240" w:lineRule="auto"/>
              <w:contextualSpacing/>
              <w:rPr>
                <w:rFonts w:cstheme="minorHAnsi"/>
              </w:rPr>
            </w:pPr>
            <w:r w:rsidRPr="00684CEA">
              <w:rPr>
                <w:rFonts w:cstheme="minorHAnsi"/>
              </w:rPr>
              <w:t>19.0 (14.0, 25.0)</w:t>
            </w:r>
          </w:p>
        </w:tc>
      </w:tr>
      <w:tr w:rsidR="009042DC" w:rsidRPr="00684CEA" w14:paraId="22A7EE3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30" w:type="dxa"/>
              <w:left w:w="90" w:type="dxa"/>
              <w:bottom w:w="30" w:type="dxa"/>
              <w:right w:w="90" w:type="dxa"/>
            </w:tcMar>
            <w:vAlign w:val="center"/>
            <w:hideMark/>
          </w:tcPr>
          <w:p w14:paraId="14502EFA" w14:textId="77777777" w:rsidR="009042DC" w:rsidRPr="00684CEA" w:rsidRDefault="009042DC" w:rsidP="00EE3799">
            <w:pPr>
              <w:spacing w:after="0" w:line="240" w:lineRule="auto"/>
              <w:contextualSpacing/>
              <w:rPr>
                <w:rFonts w:cstheme="minorHAnsi"/>
              </w:rPr>
            </w:pPr>
            <w:r w:rsidRPr="00684CEA">
              <w:rPr>
                <w:rFonts w:cstheme="minorHAnsi"/>
                <w:b/>
                <w:bCs/>
              </w:rPr>
              <w:t>PLOF score (Prior)</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326E7F0" w14:textId="77777777" w:rsidR="009042DC" w:rsidRPr="00684CEA" w:rsidRDefault="009042DC" w:rsidP="00EE3799">
            <w:pPr>
              <w:spacing w:after="0" w:line="240" w:lineRule="auto"/>
              <w:contextualSpacing/>
              <w:rPr>
                <w:rFonts w:cstheme="minorHAnsi"/>
              </w:rPr>
            </w:pPr>
            <w:r w:rsidRPr="00684CEA">
              <w:rPr>
                <w:rFonts w:cstheme="minorHAnsi"/>
              </w:rPr>
              <w:t>16,125 (14%)</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69CDF17" w14:textId="77777777" w:rsidR="009042DC" w:rsidRPr="00684CEA" w:rsidRDefault="009042DC" w:rsidP="00EE3799">
            <w:pPr>
              <w:spacing w:after="0" w:line="240" w:lineRule="auto"/>
              <w:contextualSpacing/>
              <w:rPr>
                <w:rFonts w:cstheme="minorHAnsi"/>
              </w:rPr>
            </w:pPr>
            <w:r w:rsidRPr="00684CEA">
              <w:rPr>
                <w:rFonts w:cstheme="minorHAnsi"/>
              </w:rPr>
              <w:t>44.0 (33.0, 54.0)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B276DB1" w14:textId="77777777" w:rsidR="009042DC" w:rsidRPr="00684CEA" w:rsidRDefault="009042DC" w:rsidP="00EE3799">
            <w:pPr>
              <w:spacing w:after="0" w:line="240" w:lineRule="auto"/>
              <w:contextualSpacing/>
              <w:rPr>
                <w:rFonts w:cstheme="minorHAnsi"/>
              </w:rPr>
            </w:pPr>
            <w:r w:rsidRPr="00684CEA">
              <w:rPr>
                <w:rFonts w:cstheme="minorHAnsi"/>
              </w:rPr>
              <w:t>29.0 (22.0, 38.0)</w:t>
            </w:r>
          </w:p>
        </w:tc>
      </w:tr>
      <w:tr w:rsidR="009042DC" w:rsidRPr="00684CEA" w14:paraId="7DF9E2FD"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F69FEA2" w14:textId="77777777" w:rsidR="009042DC" w:rsidRPr="00684CEA" w:rsidRDefault="009042DC" w:rsidP="00EE3799">
            <w:pPr>
              <w:spacing w:after="0" w:line="240" w:lineRule="auto"/>
              <w:contextualSpacing/>
              <w:rPr>
                <w:rFonts w:cstheme="minorHAnsi"/>
              </w:rPr>
            </w:pPr>
            <w:r w:rsidRPr="00684CEA">
              <w:rPr>
                <w:rFonts w:cstheme="minorHAnsi"/>
                <w:b/>
                <w:bCs/>
              </w:rPr>
              <w:t>CLOF at discharge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05A5A1A" w14:textId="77777777" w:rsidR="009042DC" w:rsidRPr="00684CEA" w:rsidRDefault="009042DC" w:rsidP="00EE3799">
            <w:pPr>
              <w:spacing w:after="0" w:line="240" w:lineRule="auto"/>
              <w:contextualSpacing/>
              <w:rPr>
                <w:rFonts w:cstheme="minorHAnsi"/>
              </w:rPr>
            </w:pPr>
            <w:r w:rsidRPr="00684CEA">
              <w:rPr>
                <w:rFonts w:cstheme="minorHAnsi"/>
              </w:rPr>
              <w:t>16,390 (14%)</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53F7BB3" w14:textId="77777777" w:rsidR="009042DC" w:rsidRPr="00684CEA" w:rsidRDefault="009042DC" w:rsidP="00EE3799">
            <w:pPr>
              <w:spacing w:after="0" w:line="240" w:lineRule="auto"/>
              <w:contextualSpacing/>
              <w:rPr>
                <w:rFonts w:cstheme="minorHAnsi"/>
              </w:rPr>
            </w:pPr>
            <w:r w:rsidRPr="00684CEA">
              <w:rPr>
                <w:rFonts w:cstheme="minorHAnsi"/>
              </w:rPr>
              <w:t>39.0 (32.0, 55.0)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F795D37" w14:textId="77777777" w:rsidR="009042DC" w:rsidRPr="00684CEA" w:rsidRDefault="009042DC" w:rsidP="00EE3799">
            <w:pPr>
              <w:spacing w:after="0" w:line="240" w:lineRule="auto"/>
              <w:contextualSpacing/>
              <w:rPr>
                <w:rFonts w:cstheme="minorHAnsi"/>
              </w:rPr>
            </w:pPr>
            <w:r w:rsidRPr="00684CEA">
              <w:rPr>
                <w:rFonts w:cstheme="minorHAnsi"/>
              </w:rPr>
              <w:t>20.0 (15.0, 26.0)</w:t>
            </w:r>
          </w:p>
        </w:tc>
      </w:tr>
      <w:tr w:rsidR="009042DC" w:rsidRPr="00684CEA" w14:paraId="44AF9DCD"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860635" w14:textId="77777777" w:rsidR="009042DC" w:rsidRPr="00684CEA" w:rsidRDefault="009042DC" w:rsidP="00EE3799">
            <w:pPr>
              <w:spacing w:after="0" w:line="240" w:lineRule="auto"/>
              <w:contextualSpacing/>
              <w:rPr>
                <w:rFonts w:cstheme="minorHAnsi"/>
              </w:rPr>
            </w:pPr>
            <w:r w:rsidRPr="00684CEA">
              <w:rPr>
                <w:rFonts w:cstheme="minorHAnsi"/>
                <w:b/>
                <w:bCs/>
              </w:rPr>
              <w:t>CLOF/PLOF Ratio</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EA91AAA" w14:textId="77777777" w:rsidR="009042DC" w:rsidRPr="00684CEA" w:rsidRDefault="009042DC" w:rsidP="00EE3799">
            <w:pPr>
              <w:spacing w:after="0" w:line="240" w:lineRule="auto"/>
              <w:contextualSpacing/>
              <w:rPr>
                <w:rFonts w:cstheme="minorHAnsi"/>
              </w:rPr>
            </w:pPr>
            <w:r w:rsidRPr="00684CEA">
              <w:rPr>
                <w:rFonts w:cstheme="minorHAnsi"/>
              </w:rPr>
              <w:t>16,125 (14%)</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870A588" w14:textId="77777777" w:rsidR="009042DC" w:rsidRPr="00684CEA" w:rsidRDefault="009042DC" w:rsidP="00EE3799">
            <w:pPr>
              <w:spacing w:after="0" w:line="240" w:lineRule="auto"/>
              <w:contextualSpacing/>
              <w:rPr>
                <w:rFonts w:cstheme="minorHAnsi"/>
              </w:rPr>
            </w:pPr>
            <w:r w:rsidRPr="00684CEA">
              <w:rPr>
                <w:rFonts w:cstheme="minorHAnsi"/>
              </w:rPr>
              <w:t>0.9 (0.7, 1.0)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48B079A" w14:textId="77777777" w:rsidR="009042DC" w:rsidRPr="00684CEA" w:rsidRDefault="009042DC" w:rsidP="00EE3799">
            <w:pPr>
              <w:spacing w:after="0" w:line="240" w:lineRule="auto"/>
              <w:contextualSpacing/>
              <w:rPr>
                <w:rFonts w:cstheme="minorHAnsi"/>
              </w:rPr>
            </w:pPr>
            <w:r w:rsidRPr="00684CEA">
              <w:rPr>
                <w:rFonts w:cstheme="minorHAnsi"/>
              </w:rPr>
              <w:t>0.7 (0.5, 0.9)</w:t>
            </w:r>
          </w:p>
        </w:tc>
      </w:tr>
      <w:tr w:rsidR="009042DC" w:rsidRPr="00684CEA" w14:paraId="27757EDF"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04588CF" w14:textId="77777777" w:rsidR="009042DC" w:rsidRPr="00684CEA" w:rsidRDefault="009042DC" w:rsidP="00EE3799">
            <w:pPr>
              <w:spacing w:after="0" w:line="240" w:lineRule="auto"/>
              <w:contextualSpacing/>
              <w:rPr>
                <w:rFonts w:cstheme="minorHAnsi"/>
              </w:rPr>
            </w:pPr>
            <w:r w:rsidRPr="00684CEA">
              <w:rPr>
                <w:rFonts w:cstheme="minorHAnsi"/>
                <w:b/>
                <w:bCs/>
              </w:rPr>
              <w:t>MALE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69E1DAE" w14:textId="77777777" w:rsidR="009042DC" w:rsidRPr="00684CEA" w:rsidRDefault="009042DC" w:rsidP="00EE3799">
            <w:pPr>
              <w:spacing w:after="0" w:line="240" w:lineRule="auto"/>
              <w:contextualSpacing/>
              <w:rPr>
                <w:rFonts w:cstheme="minorHAnsi"/>
              </w:rPr>
            </w:pPr>
            <w:r w:rsidRPr="00684CEA">
              <w:rPr>
                <w:rFonts w:cstheme="minorHAnsi"/>
              </w:rPr>
              <w:t>725 (0.6%)</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AE563B2" w14:textId="77777777" w:rsidR="009042DC" w:rsidRPr="00684CEA" w:rsidRDefault="009042DC" w:rsidP="00EE3799">
            <w:pPr>
              <w:spacing w:after="0" w:line="240" w:lineRule="auto"/>
              <w:contextualSpacing/>
              <w:rPr>
                <w:rFonts w:cstheme="minorHAnsi"/>
              </w:rPr>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D2E6214" w14:textId="77777777" w:rsidR="009042DC" w:rsidRPr="00684CEA" w:rsidRDefault="009042DC" w:rsidP="00EE3799">
            <w:pPr>
              <w:spacing w:after="0" w:line="240" w:lineRule="auto"/>
              <w:contextualSpacing/>
              <w:rPr>
                <w:rFonts w:cstheme="minorHAnsi"/>
              </w:rPr>
            </w:pPr>
          </w:p>
        </w:tc>
      </w:tr>
      <w:tr w:rsidR="009042DC" w:rsidRPr="00684CEA" w14:paraId="23B06150"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190F02D" w14:textId="77777777" w:rsidR="009042DC" w:rsidRPr="00684CEA" w:rsidRDefault="009042DC" w:rsidP="00EE3799">
            <w:pPr>
              <w:spacing w:after="0" w:line="240" w:lineRule="auto"/>
              <w:contextualSpacing/>
              <w:rPr>
                <w:rFonts w:cstheme="minorHAnsi"/>
              </w:rPr>
            </w:pPr>
            <w:r w:rsidRPr="00684CEA">
              <w:rPr>
                <w:rFonts w:cstheme="minorHAnsi"/>
              </w:rPr>
              <w:t>    0</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05ACCE9"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673C2F7" w14:textId="77777777" w:rsidR="009042DC" w:rsidRPr="00684CEA" w:rsidRDefault="009042DC" w:rsidP="00EE3799">
            <w:pPr>
              <w:spacing w:after="0" w:line="240" w:lineRule="auto"/>
              <w:contextualSpacing/>
              <w:rPr>
                <w:rFonts w:cstheme="minorHAnsi"/>
              </w:rPr>
            </w:pPr>
            <w:r w:rsidRPr="00684CEA">
              <w:rPr>
                <w:rFonts w:cstheme="minorHAnsi"/>
              </w:rPr>
              <w:t>50,538 (48.9%)</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20B39AD" w14:textId="77777777" w:rsidR="009042DC" w:rsidRPr="00684CEA" w:rsidRDefault="009042DC" w:rsidP="00EE3799">
            <w:pPr>
              <w:spacing w:after="0" w:line="240" w:lineRule="auto"/>
              <w:contextualSpacing/>
              <w:rPr>
                <w:rFonts w:cstheme="minorHAnsi"/>
              </w:rPr>
            </w:pPr>
            <w:r w:rsidRPr="00684CEA">
              <w:rPr>
                <w:rFonts w:cstheme="minorHAnsi"/>
              </w:rPr>
              <w:t>7,737 (54.7%)</w:t>
            </w:r>
          </w:p>
        </w:tc>
      </w:tr>
      <w:tr w:rsidR="009042DC" w:rsidRPr="00684CEA" w14:paraId="3797B7E0"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0920E22" w14:textId="77777777" w:rsidR="009042DC" w:rsidRPr="00684CEA" w:rsidRDefault="009042DC" w:rsidP="00EE3799">
            <w:pPr>
              <w:spacing w:after="0" w:line="240" w:lineRule="auto"/>
              <w:contextualSpacing/>
              <w:rPr>
                <w:rFonts w:cstheme="minorHAnsi"/>
              </w:rPr>
            </w:pPr>
            <w:r w:rsidRPr="00684CEA">
              <w:rPr>
                <w:rFonts w:cstheme="minorHAnsi"/>
              </w:rPr>
              <w:t>    1</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E35008C"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262DEAB" w14:textId="77777777" w:rsidR="009042DC" w:rsidRPr="00684CEA" w:rsidRDefault="009042DC" w:rsidP="00EE3799">
            <w:pPr>
              <w:spacing w:after="0" w:line="240" w:lineRule="auto"/>
              <w:contextualSpacing/>
              <w:rPr>
                <w:rFonts w:cstheme="minorHAnsi"/>
              </w:rPr>
            </w:pPr>
            <w:r w:rsidRPr="00684CEA">
              <w:rPr>
                <w:rFonts w:cstheme="minorHAnsi"/>
              </w:rPr>
              <w:t>52,837 (51.1%)</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04F77F" w14:textId="77777777" w:rsidR="009042DC" w:rsidRPr="00684CEA" w:rsidRDefault="009042DC" w:rsidP="00EE3799">
            <w:pPr>
              <w:spacing w:after="0" w:line="240" w:lineRule="auto"/>
              <w:contextualSpacing/>
              <w:rPr>
                <w:rFonts w:cstheme="minorHAnsi"/>
              </w:rPr>
            </w:pPr>
            <w:r w:rsidRPr="00684CEA">
              <w:rPr>
                <w:rFonts w:cstheme="minorHAnsi"/>
              </w:rPr>
              <w:t>6,411 (45.3%)</w:t>
            </w:r>
          </w:p>
        </w:tc>
      </w:tr>
      <w:tr w:rsidR="009042DC" w:rsidRPr="00684CEA" w14:paraId="6C956299"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275E637" w14:textId="77777777" w:rsidR="009042DC" w:rsidRPr="00684CEA" w:rsidRDefault="009042DC" w:rsidP="00EE3799">
            <w:pPr>
              <w:spacing w:after="0" w:line="240" w:lineRule="auto"/>
              <w:contextualSpacing/>
              <w:rPr>
                <w:rFonts w:cstheme="minorHAnsi"/>
              </w:rPr>
            </w:pPr>
            <w:r w:rsidRPr="00684CEA">
              <w:rPr>
                <w:rFonts w:cstheme="minorHAnsi"/>
                <w:b/>
                <w:bCs/>
              </w:rPr>
              <w:t>Age at admit</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00D9DA8" w14:textId="77777777" w:rsidR="009042DC" w:rsidRPr="00684CEA" w:rsidRDefault="009042DC" w:rsidP="00EE3799">
            <w:pPr>
              <w:spacing w:after="0" w:line="240" w:lineRule="auto"/>
              <w:contextualSpacing/>
              <w:rPr>
                <w:rFonts w:cstheme="minorHAnsi"/>
              </w:rPr>
            </w:pPr>
            <w:r w:rsidRPr="00684CEA">
              <w:rPr>
                <w:rFonts w:cstheme="minorHAnsi"/>
              </w:rPr>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565E90E" w14:textId="77777777" w:rsidR="009042DC" w:rsidRPr="00684CEA" w:rsidRDefault="009042DC" w:rsidP="00EE3799">
            <w:pPr>
              <w:spacing w:after="0" w:line="240" w:lineRule="auto"/>
              <w:contextualSpacing/>
              <w:rPr>
                <w:rFonts w:cstheme="minorHAnsi"/>
              </w:rPr>
            </w:pPr>
            <w:r w:rsidRPr="00684CEA">
              <w:rPr>
                <w:rFonts w:cstheme="minorHAnsi"/>
              </w:rPr>
              <w:t>68.0 (55.0, 79.0)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1AAB2AC" w14:textId="77777777" w:rsidR="009042DC" w:rsidRPr="00684CEA" w:rsidRDefault="009042DC" w:rsidP="00EE3799">
            <w:pPr>
              <w:spacing w:after="0" w:line="240" w:lineRule="auto"/>
              <w:contextualSpacing/>
              <w:rPr>
                <w:rFonts w:cstheme="minorHAnsi"/>
              </w:rPr>
            </w:pPr>
            <w:r w:rsidRPr="00684CEA">
              <w:rPr>
                <w:rFonts w:cstheme="minorHAnsi"/>
              </w:rPr>
              <w:t>78.0 (70.0, 86.0)</w:t>
            </w:r>
          </w:p>
        </w:tc>
      </w:tr>
      <w:tr w:rsidR="009042DC" w:rsidRPr="00684CEA" w14:paraId="459BC5AE"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9F479EC" w14:textId="77777777" w:rsidR="009042DC" w:rsidRPr="00684CEA" w:rsidRDefault="009042DC" w:rsidP="00EE3799">
            <w:pPr>
              <w:spacing w:after="0" w:line="240" w:lineRule="auto"/>
              <w:contextualSpacing/>
              <w:rPr>
                <w:rFonts w:cstheme="minorHAnsi"/>
              </w:rPr>
            </w:pPr>
            <w:r w:rsidRPr="00684CEA">
              <w:rPr>
                <w:rFonts w:cstheme="minorHAnsi"/>
                <w:b/>
                <w:bCs/>
              </w:rPr>
              <w:t>BMI</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2F633C4" w14:textId="77777777" w:rsidR="009042DC" w:rsidRPr="00684CEA" w:rsidRDefault="009042DC" w:rsidP="00EE3799">
            <w:pPr>
              <w:spacing w:after="0" w:line="240" w:lineRule="auto"/>
              <w:contextualSpacing/>
              <w:rPr>
                <w:rFonts w:cstheme="minorHAnsi"/>
              </w:rPr>
            </w:pPr>
            <w:r w:rsidRPr="00684CEA">
              <w:rPr>
                <w:rFonts w:cstheme="minorHAnsi"/>
              </w:rPr>
              <w:t>1,794 (1.5%)</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A2CC8A8" w14:textId="77777777" w:rsidR="009042DC" w:rsidRPr="00684CEA" w:rsidRDefault="009042DC" w:rsidP="00EE3799">
            <w:pPr>
              <w:spacing w:after="0" w:line="240" w:lineRule="auto"/>
              <w:contextualSpacing/>
              <w:rPr>
                <w:rFonts w:cstheme="minorHAnsi"/>
              </w:rPr>
            </w:pPr>
            <w:r w:rsidRPr="00684CEA">
              <w:rPr>
                <w:rFonts w:cstheme="minorHAnsi"/>
              </w:rPr>
              <w:t>27.4 (23.4, 32.5)</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31AC8F2" w14:textId="77777777" w:rsidR="009042DC" w:rsidRPr="00684CEA" w:rsidRDefault="009042DC" w:rsidP="00EE3799">
            <w:pPr>
              <w:spacing w:after="0" w:line="240" w:lineRule="auto"/>
              <w:contextualSpacing/>
              <w:rPr>
                <w:rFonts w:cstheme="minorHAnsi"/>
              </w:rPr>
            </w:pPr>
            <w:r w:rsidRPr="00684CEA">
              <w:rPr>
                <w:rFonts w:cstheme="minorHAnsi"/>
              </w:rPr>
              <w:t>26.5 (22.5, 32.1)</w:t>
            </w:r>
          </w:p>
        </w:tc>
      </w:tr>
      <w:tr w:rsidR="009042DC" w:rsidRPr="00684CEA" w14:paraId="559381E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3FB6EEB" w14:textId="77777777" w:rsidR="009042DC" w:rsidRPr="00684CEA" w:rsidRDefault="009042DC" w:rsidP="00EE3799">
            <w:pPr>
              <w:spacing w:after="0" w:line="240" w:lineRule="auto"/>
              <w:contextualSpacing/>
              <w:rPr>
                <w:rFonts w:cstheme="minorHAnsi"/>
              </w:rPr>
            </w:pPr>
            <w:r w:rsidRPr="00684CEA">
              <w:rPr>
                <w:rFonts w:cstheme="minorHAnsi"/>
                <w:b/>
                <w:bCs/>
              </w:rPr>
              <w:t>COPS2.5 at admit</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FDAE484" w14:textId="77777777" w:rsidR="009042DC" w:rsidRPr="00684CEA" w:rsidRDefault="009042DC" w:rsidP="00EE3799">
            <w:pPr>
              <w:spacing w:after="0" w:line="240" w:lineRule="auto"/>
              <w:contextualSpacing/>
              <w:rPr>
                <w:rFonts w:cstheme="minorHAnsi"/>
              </w:rPr>
            </w:pPr>
            <w:r w:rsidRPr="00684CEA">
              <w:rPr>
                <w:rFonts w:cstheme="minorHAnsi"/>
              </w:rPr>
              <w:t>99 (&lt;0.1%)</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B7D902A" w14:textId="77777777" w:rsidR="009042DC" w:rsidRPr="00684CEA" w:rsidRDefault="009042DC" w:rsidP="00EE3799">
            <w:pPr>
              <w:spacing w:after="0" w:line="240" w:lineRule="auto"/>
              <w:contextualSpacing/>
              <w:rPr>
                <w:rFonts w:cstheme="minorHAnsi"/>
              </w:rPr>
            </w:pPr>
            <w:r w:rsidRPr="00684CEA">
              <w:rPr>
                <w:rFonts w:cstheme="minorHAnsi"/>
              </w:rPr>
              <w:t>29.0 (10.0, 65.0)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B1090E5" w14:textId="77777777" w:rsidR="009042DC" w:rsidRPr="00684CEA" w:rsidRDefault="009042DC" w:rsidP="00EE3799">
            <w:pPr>
              <w:spacing w:after="0" w:line="240" w:lineRule="auto"/>
              <w:contextualSpacing/>
              <w:rPr>
                <w:rFonts w:cstheme="minorHAnsi"/>
              </w:rPr>
            </w:pPr>
            <w:r w:rsidRPr="00684CEA">
              <w:rPr>
                <w:rFonts w:cstheme="minorHAnsi"/>
              </w:rPr>
              <w:t>47.0 (20.0, 84.0)</w:t>
            </w:r>
          </w:p>
        </w:tc>
      </w:tr>
      <w:tr w:rsidR="009042DC" w:rsidRPr="00684CEA" w14:paraId="116EC6CE"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6EC27AF" w14:textId="77777777" w:rsidR="009042DC" w:rsidRPr="00684CEA" w:rsidRDefault="009042DC" w:rsidP="00EE3799">
            <w:pPr>
              <w:spacing w:after="0" w:line="240" w:lineRule="auto"/>
              <w:contextualSpacing/>
              <w:rPr>
                <w:rFonts w:cstheme="minorHAnsi"/>
              </w:rPr>
            </w:pPr>
            <w:r w:rsidRPr="00684CEA">
              <w:rPr>
                <w:rFonts w:cstheme="minorHAnsi"/>
                <w:b/>
                <w:bCs/>
              </w:rPr>
              <w:t>LAPS2 at admit</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CBB1C18" w14:textId="77777777" w:rsidR="009042DC" w:rsidRPr="00684CEA" w:rsidRDefault="009042DC" w:rsidP="00EE3799">
            <w:pPr>
              <w:spacing w:after="0" w:line="240" w:lineRule="auto"/>
              <w:contextualSpacing/>
              <w:rPr>
                <w:rFonts w:cstheme="minorHAnsi"/>
              </w:rPr>
            </w:pPr>
            <w:r w:rsidRPr="00684CEA">
              <w:rPr>
                <w:rFonts w:cstheme="minorHAnsi"/>
              </w:rPr>
              <w:t>180 (0.2%)</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131B56A" w14:textId="77777777" w:rsidR="009042DC" w:rsidRPr="00684CEA" w:rsidRDefault="009042DC" w:rsidP="00EE3799">
            <w:pPr>
              <w:spacing w:after="0" w:line="240" w:lineRule="auto"/>
              <w:contextualSpacing/>
              <w:rPr>
                <w:rFonts w:cstheme="minorHAnsi"/>
              </w:rPr>
            </w:pPr>
            <w:r w:rsidRPr="00684CEA">
              <w:rPr>
                <w:rFonts w:cstheme="minorHAnsi"/>
              </w:rPr>
              <w:t>63.0 (37.0, 91.0)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B095E2D" w14:textId="77777777" w:rsidR="009042DC" w:rsidRPr="00684CEA" w:rsidRDefault="009042DC" w:rsidP="00EE3799">
            <w:pPr>
              <w:spacing w:after="0" w:line="240" w:lineRule="auto"/>
              <w:contextualSpacing/>
              <w:rPr>
                <w:rFonts w:cstheme="minorHAnsi"/>
              </w:rPr>
            </w:pPr>
            <w:r w:rsidRPr="00684CEA">
              <w:rPr>
                <w:rFonts w:cstheme="minorHAnsi"/>
              </w:rPr>
              <w:t>80.0 (51.0, 108.0)</w:t>
            </w:r>
          </w:p>
        </w:tc>
      </w:tr>
      <w:tr w:rsidR="009042DC" w:rsidRPr="00684CEA" w14:paraId="4F1D55AF" w14:textId="77777777" w:rsidTr="00EE3799">
        <w:trPr>
          <w:trHeight w:val="421"/>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1CD9A3C" w14:textId="77777777" w:rsidR="009042DC" w:rsidRPr="00684CEA" w:rsidRDefault="009042DC" w:rsidP="00EE3799">
            <w:pPr>
              <w:spacing w:after="0" w:line="240" w:lineRule="auto"/>
              <w:contextualSpacing/>
              <w:rPr>
                <w:rFonts w:cstheme="minorHAnsi"/>
              </w:rPr>
            </w:pPr>
            <w:r w:rsidRPr="00684CEA">
              <w:rPr>
                <w:rFonts w:cstheme="minorHAnsi"/>
                <w:b/>
                <w:bCs/>
              </w:rPr>
              <w:t>Admit category</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7A2E1FD" w14:textId="77777777" w:rsidR="009042DC" w:rsidRPr="00684CEA" w:rsidRDefault="009042DC" w:rsidP="00EE3799">
            <w:pPr>
              <w:spacing w:after="0" w:line="240" w:lineRule="auto"/>
              <w:contextualSpacing/>
              <w:rPr>
                <w:rFonts w:cstheme="minorHAnsi"/>
              </w:rPr>
            </w:pPr>
            <w:r w:rsidRPr="00684CEA">
              <w:rPr>
                <w:rFonts w:cstheme="minorHAnsi"/>
              </w:rPr>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EC479DB" w14:textId="77777777" w:rsidR="009042DC" w:rsidRPr="00684CEA" w:rsidRDefault="009042DC" w:rsidP="00EE3799">
            <w:pPr>
              <w:spacing w:after="0" w:line="240" w:lineRule="auto"/>
              <w:contextualSpacing/>
              <w:rPr>
                <w:rFonts w:cstheme="minorHAnsi"/>
              </w:rPr>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283A352" w14:textId="77777777" w:rsidR="009042DC" w:rsidRPr="00684CEA" w:rsidRDefault="009042DC" w:rsidP="00EE3799">
            <w:pPr>
              <w:spacing w:after="0" w:line="240" w:lineRule="auto"/>
              <w:contextualSpacing/>
              <w:rPr>
                <w:rFonts w:cstheme="minorHAnsi"/>
              </w:rPr>
            </w:pPr>
          </w:p>
        </w:tc>
      </w:tr>
      <w:tr w:rsidR="009042DC" w:rsidRPr="00684CEA" w14:paraId="7A2D97F8" w14:textId="77777777" w:rsidTr="00EE3799">
        <w:trPr>
          <w:trHeight w:val="421"/>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36CECB2" w14:textId="77777777" w:rsidR="009042DC" w:rsidRPr="00684CEA" w:rsidRDefault="009042DC" w:rsidP="00EE3799">
            <w:pPr>
              <w:spacing w:after="0" w:line="240" w:lineRule="auto"/>
              <w:contextualSpacing/>
              <w:rPr>
                <w:rFonts w:cstheme="minorHAnsi"/>
              </w:rPr>
            </w:pPr>
            <w:r w:rsidRPr="00684CEA">
              <w:rPr>
                <w:rFonts w:cstheme="minorHAnsi"/>
              </w:rPr>
              <w:t>Unscheduled, less than 24 hours prior to admission</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4C1457F"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5941B5D" w14:textId="77777777" w:rsidR="009042DC" w:rsidRPr="00684CEA" w:rsidRDefault="009042DC" w:rsidP="00EE3799">
            <w:pPr>
              <w:spacing w:after="0" w:line="240" w:lineRule="auto"/>
              <w:contextualSpacing/>
              <w:rPr>
                <w:rFonts w:cstheme="minorHAnsi"/>
              </w:rPr>
            </w:pPr>
            <w:r w:rsidRPr="00684CEA">
              <w:rPr>
                <w:rFonts w:cstheme="minorHAnsi"/>
              </w:rPr>
              <w:t>88,690 (85.2%)</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DEA8CF0" w14:textId="77777777" w:rsidR="009042DC" w:rsidRPr="00684CEA" w:rsidRDefault="009042DC" w:rsidP="00EE3799">
            <w:pPr>
              <w:spacing w:after="0" w:line="240" w:lineRule="auto"/>
              <w:contextualSpacing/>
              <w:rPr>
                <w:rFonts w:cstheme="minorHAnsi"/>
              </w:rPr>
            </w:pPr>
            <w:r w:rsidRPr="00684CEA">
              <w:rPr>
                <w:rFonts w:cstheme="minorHAnsi"/>
              </w:rPr>
              <w:t>13,371 (94.3%)</w:t>
            </w:r>
          </w:p>
        </w:tc>
      </w:tr>
      <w:tr w:rsidR="009042DC" w:rsidRPr="00684CEA" w14:paraId="718527FA" w14:textId="77777777" w:rsidTr="00EE3799">
        <w:trPr>
          <w:trHeight w:val="421"/>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22BFB8E" w14:textId="77777777" w:rsidR="009042DC" w:rsidRPr="00684CEA" w:rsidRDefault="009042DC" w:rsidP="00EE3799">
            <w:pPr>
              <w:spacing w:after="0" w:line="240" w:lineRule="auto"/>
              <w:contextualSpacing/>
              <w:rPr>
                <w:rFonts w:cstheme="minorHAnsi"/>
              </w:rPr>
            </w:pPr>
            <w:r w:rsidRPr="00684CEA">
              <w:rPr>
                <w:rFonts w:cstheme="minorHAnsi"/>
              </w:rPr>
              <w:t>Scheduled, at least 24 hours prior to admission</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C5E572C"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A42EBA1" w14:textId="77777777" w:rsidR="009042DC" w:rsidRPr="00684CEA" w:rsidRDefault="009042DC" w:rsidP="00EE3799">
            <w:pPr>
              <w:spacing w:after="0" w:line="240" w:lineRule="auto"/>
              <w:contextualSpacing/>
              <w:rPr>
                <w:rFonts w:cstheme="minorHAnsi"/>
              </w:rPr>
            </w:pPr>
            <w:r w:rsidRPr="00684CEA">
              <w:rPr>
                <w:rFonts w:cstheme="minorHAnsi"/>
              </w:rPr>
              <w:t>15,284 (14.7%)</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456659E" w14:textId="77777777" w:rsidR="009042DC" w:rsidRPr="00684CEA" w:rsidRDefault="009042DC" w:rsidP="00EE3799">
            <w:pPr>
              <w:spacing w:after="0" w:line="240" w:lineRule="auto"/>
              <w:contextualSpacing/>
              <w:rPr>
                <w:rFonts w:cstheme="minorHAnsi"/>
              </w:rPr>
            </w:pPr>
            <w:r w:rsidRPr="00684CEA">
              <w:rPr>
                <w:rFonts w:cstheme="minorHAnsi"/>
              </w:rPr>
              <w:t>789 (5.6%)</w:t>
            </w:r>
          </w:p>
        </w:tc>
      </w:tr>
      <w:tr w:rsidR="009042DC" w:rsidRPr="00684CEA" w14:paraId="26116AF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C5B89E6" w14:textId="77777777" w:rsidR="009042DC" w:rsidRPr="00684CEA" w:rsidRDefault="009042DC" w:rsidP="00EE3799">
            <w:pPr>
              <w:spacing w:after="0" w:line="240" w:lineRule="auto"/>
              <w:contextualSpacing/>
              <w:rPr>
                <w:rFonts w:cstheme="minorHAnsi"/>
              </w:rPr>
            </w:pPr>
            <w:r w:rsidRPr="00684CEA">
              <w:rPr>
                <w:rFonts w:cstheme="minorHAnsi"/>
              </w:rPr>
              <w:t>    Unknown</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EC5FB91"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C50E0AA" w14:textId="77777777" w:rsidR="009042DC" w:rsidRPr="00684CEA" w:rsidRDefault="009042DC" w:rsidP="00EE3799">
            <w:pPr>
              <w:spacing w:after="0" w:line="240" w:lineRule="auto"/>
              <w:contextualSpacing/>
              <w:rPr>
                <w:rFonts w:cstheme="minorHAnsi"/>
              </w:rPr>
            </w:pPr>
            <w:r w:rsidRPr="00684CEA">
              <w:rPr>
                <w:rFonts w:cstheme="minorHAnsi"/>
              </w:rPr>
              <w:t>100 (0.1%)</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5C79E52" w14:textId="77777777" w:rsidR="009042DC" w:rsidRPr="00684CEA" w:rsidRDefault="009042DC" w:rsidP="00EE3799">
            <w:pPr>
              <w:spacing w:after="0" w:line="240" w:lineRule="auto"/>
              <w:contextualSpacing/>
              <w:rPr>
                <w:rFonts w:cstheme="minorHAnsi"/>
              </w:rPr>
            </w:pPr>
            <w:r w:rsidRPr="00684CEA">
              <w:rPr>
                <w:rFonts w:cstheme="minorHAnsi"/>
              </w:rPr>
              <w:t>14 (0.1%)</w:t>
            </w:r>
          </w:p>
        </w:tc>
      </w:tr>
      <w:tr w:rsidR="009042DC" w:rsidRPr="00684CEA" w14:paraId="3DB7B679"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5420C0F" w14:textId="77777777" w:rsidR="009042DC" w:rsidRPr="00684CEA" w:rsidRDefault="009042DC" w:rsidP="00EE3799">
            <w:pPr>
              <w:spacing w:after="0" w:line="240" w:lineRule="auto"/>
              <w:contextualSpacing/>
              <w:rPr>
                <w:rFonts w:cstheme="minorHAnsi"/>
              </w:rPr>
            </w:pPr>
            <w:r w:rsidRPr="00684CEA">
              <w:rPr>
                <w:rFonts w:cstheme="minorHAnsi"/>
                <w:b/>
                <w:bCs/>
              </w:rPr>
              <w:t>Unit 1</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1D54C01" w14:textId="77777777" w:rsidR="009042DC" w:rsidRPr="00684CEA" w:rsidRDefault="009042DC" w:rsidP="00EE3799">
            <w:pPr>
              <w:spacing w:after="0" w:line="240" w:lineRule="auto"/>
              <w:contextualSpacing/>
              <w:rPr>
                <w:rFonts w:cstheme="minorHAnsi"/>
              </w:rPr>
            </w:pPr>
            <w:r w:rsidRPr="00684CEA">
              <w:rPr>
                <w:rFonts w:cstheme="minorHAnsi"/>
              </w:rPr>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ED190CF" w14:textId="77777777" w:rsidR="009042DC" w:rsidRPr="00684CEA" w:rsidRDefault="009042DC" w:rsidP="00EE3799">
            <w:pPr>
              <w:spacing w:after="0" w:line="240" w:lineRule="auto"/>
              <w:contextualSpacing/>
              <w:rPr>
                <w:rFonts w:cstheme="minorHAnsi"/>
              </w:rPr>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8AD5C38" w14:textId="77777777" w:rsidR="009042DC" w:rsidRPr="00684CEA" w:rsidRDefault="009042DC" w:rsidP="00EE3799">
            <w:pPr>
              <w:spacing w:after="0" w:line="240" w:lineRule="auto"/>
              <w:contextualSpacing/>
              <w:rPr>
                <w:rFonts w:cstheme="minorHAnsi"/>
              </w:rPr>
            </w:pPr>
          </w:p>
        </w:tc>
      </w:tr>
      <w:tr w:rsidR="009042DC" w:rsidRPr="00684CEA" w14:paraId="5DD3E32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BE00989" w14:textId="77777777" w:rsidR="009042DC" w:rsidRPr="00684CEA" w:rsidRDefault="009042DC" w:rsidP="00EE3799">
            <w:pPr>
              <w:spacing w:after="0" w:line="240" w:lineRule="auto"/>
              <w:contextualSpacing/>
              <w:rPr>
                <w:rFonts w:cstheme="minorHAnsi"/>
              </w:rPr>
            </w:pPr>
            <w:r w:rsidRPr="00684CEA">
              <w:rPr>
                <w:rFonts w:cstheme="minorHAnsi"/>
              </w:rPr>
              <w:t>    FLR</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CDAB4D8"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D58A7C6" w14:textId="77777777" w:rsidR="009042DC" w:rsidRPr="00684CEA" w:rsidRDefault="009042DC" w:rsidP="00EE3799">
            <w:pPr>
              <w:spacing w:after="0" w:line="240" w:lineRule="auto"/>
              <w:contextualSpacing/>
              <w:rPr>
                <w:rFonts w:cstheme="minorHAnsi"/>
              </w:rPr>
            </w:pPr>
            <w:r w:rsidRPr="00684CEA">
              <w:rPr>
                <w:rFonts w:cstheme="minorHAnsi"/>
              </w:rPr>
              <w:t>74,102 (71.2%)</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D292095" w14:textId="77777777" w:rsidR="009042DC" w:rsidRPr="00684CEA" w:rsidRDefault="009042DC" w:rsidP="00EE3799">
            <w:pPr>
              <w:spacing w:after="0" w:line="240" w:lineRule="auto"/>
              <w:contextualSpacing/>
              <w:rPr>
                <w:rFonts w:cstheme="minorHAnsi"/>
              </w:rPr>
            </w:pPr>
            <w:r w:rsidRPr="00684CEA">
              <w:rPr>
                <w:rFonts w:cstheme="minorHAnsi"/>
              </w:rPr>
              <w:t>10,836 (76.4%)</w:t>
            </w:r>
          </w:p>
        </w:tc>
      </w:tr>
      <w:tr w:rsidR="009042DC" w:rsidRPr="00684CEA" w14:paraId="529168D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4BEF051" w14:textId="77777777" w:rsidR="009042DC" w:rsidRPr="00684CEA" w:rsidRDefault="009042DC" w:rsidP="00EE3799">
            <w:pPr>
              <w:spacing w:after="0" w:line="240" w:lineRule="auto"/>
              <w:contextualSpacing/>
              <w:rPr>
                <w:rFonts w:cstheme="minorHAnsi"/>
              </w:rPr>
            </w:pPr>
            <w:r w:rsidRPr="00684CEA">
              <w:rPr>
                <w:rFonts w:cstheme="minorHAnsi"/>
              </w:rPr>
              <w:t>    ICU</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C162B64"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98B7E9D" w14:textId="77777777" w:rsidR="009042DC" w:rsidRPr="00684CEA" w:rsidRDefault="009042DC" w:rsidP="00EE3799">
            <w:pPr>
              <w:spacing w:after="0" w:line="240" w:lineRule="auto"/>
              <w:contextualSpacing/>
              <w:rPr>
                <w:rFonts w:cstheme="minorHAnsi"/>
              </w:rPr>
            </w:pPr>
            <w:r w:rsidRPr="00684CEA">
              <w:rPr>
                <w:rFonts w:cstheme="minorHAnsi"/>
              </w:rPr>
              <w:t>8,285 (8.0%)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784F3FF" w14:textId="77777777" w:rsidR="009042DC" w:rsidRPr="00684CEA" w:rsidRDefault="009042DC" w:rsidP="00EE3799">
            <w:pPr>
              <w:spacing w:after="0" w:line="240" w:lineRule="auto"/>
              <w:contextualSpacing/>
              <w:rPr>
                <w:rFonts w:cstheme="minorHAnsi"/>
              </w:rPr>
            </w:pPr>
            <w:r w:rsidRPr="00684CEA">
              <w:rPr>
                <w:rFonts w:cstheme="minorHAnsi"/>
              </w:rPr>
              <w:t>1,521 (10.7%)</w:t>
            </w:r>
          </w:p>
        </w:tc>
      </w:tr>
      <w:tr w:rsidR="009042DC" w:rsidRPr="00684CEA" w14:paraId="15C02B3F"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F7096FD" w14:textId="77777777" w:rsidR="009042DC" w:rsidRPr="00684CEA" w:rsidRDefault="009042DC" w:rsidP="00EE3799">
            <w:pPr>
              <w:spacing w:after="0" w:line="240" w:lineRule="auto"/>
              <w:contextualSpacing/>
              <w:rPr>
                <w:rFonts w:cstheme="minorHAnsi"/>
              </w:rPr>
            </w:pPr>
            <w:r w:rsidRPr="00684CEA">
              <w:rPr>
                <w:rFonts w:cstheme="minorHAnsi"/>
              </w:rPr>
              <w:t>    OR</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D5D444D"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E11F006" w14:textId="77777777" w:rsidR="009042DC" w:rsidRPr="00684CEA" w:rsidRDefault="009042DC" w:rsidP="00EE3799">
            <w:pPr>
              <w:spacing w:after="0" w:line="240" w:lineRule="auto"/>
              <w:contextualSpacing/>
              <w:rPr>
                <w:rFonts w:cstheme="minorHAnsi"/>
              </w:rPr>
            </w:pPr>
            <w:r w:rsidRPr="00684CEA">
              <w:rPr>
                <w:rFonts w:cstheme="minorHAnsi"/>
              </w:rPr>
              <w:t>18,328 (17.6%)</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131FCE9" w14:textId="77777777" w:rsidR="009042DC" w:rsidRPr="00684CEA" w:rsidRDefault="009042DC" w:rsidP="00EE3799">
            <w:pPr>
              <w:spacing w:after="0" w:line="240" w:lineRule="auto"/>
              <w:contextualSpacing/>
              <w:rPr>
                <w:rFonts w:cstheme="minorHAnsi"/>
              </w:rPr>
            </w:pPr>
            <w:r w:rsidRPr="00684CEA">
              <w:rPr>
                <w:rFonts w:cstheme="minorHAnsi"/>
              </w:rPr>
              <w:t>1,410 (9.9%)</w:t>
            </w:r>
          </w:p>
        </w:tc>
      </w:tr>
      <w:tr w:rsidR="009042DC" w:rsidRPr="00684CEA" w14:paraId="5D41A34D"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847D6FF" w14:textId="77777777" w:rsidR="009042DC" w:rsidRPr="00684CEA" w:rsidRDefault="009042DC" w:rsidP="00EE3799">
            <w:pPr>
              <w:spacing w:after="0" w:line="240" w:lineRule="auto"/>
              <w:contextualSpacing/>
              <w:rPr>
                <w:rFonts w:cstheme="minorHAnsi"/>
              </w:rPr>
            </w:pPr>
            <w:r w:rsidRPr="00684CEA">
              <w:rPr>
                <w:rFonts w:cstheme="minorHAnsi"/>
              </w:rPr>
              <w:lastRenderedPageBreak/>
              <w:t>    TCU</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70FB693"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0DBF93F" w14:textId="77777777" w:rsidR="009042DC" w:rsidRPr="00684CEA" w:rsidRDefault="009042DC" w:rsidP="00EE3799">
            <w:pPr>
              <w:spacing w:after="0" w:line="240" w:lineRule="auto"/>
              <w:contextualSpacing/>
              <w:rPr>
                <w:rFonts w:cstheme="minorHAnsi"/>
              </w:rPr>
            </w:pPr>
            <w:r w:rsidRPr="00684CEA">
              <w:rPr>
                <w:rFonts w:cstheme="minorHAnsi"/>
              </w:rPr>
              <w:t>490 (0.5%)</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1F5C98A" w14:textId="77777777" w:rsidR="009042DC" w:rsidRPr="00684CEA" w:rsidRDefault="009042DC" w:rsidP="00EE3799">
            <w:pPr>
              <w:spacing w:after="0" w:line="240" w:lineRule="auto"/>
              <w:contextualSpacing/>
              <w:rPr>
                <w:rFonts w:cstheme="minorHAnsi"/>
              </w:rPr>
            </w:pPr>
            <w:r w:rsidRPr="00684CEA">
              <w:rPr>
                <w:rFonts w:cstheme="minorHAnsi"/>
              </w:rPr>
              <w:t>43 (0.3%)</w:t>
            </w:r>
          </w:p>
        </w:tc>
      </w:tr>
      <w:tr w:rsidR="009042DC" w:rsidRPr="00684CEA" w14:paraId="27DA35A5"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A229797" w14:textId="77777777" w:rsidR="009042DC" w:rsidRPr="00684CEA" w:rsidRDefault="009042DC" w:rsidP="00EE3799">
            <w:pPr>
              <w:spacing w:after="0" w:line="240" w:lineRule="auto"/>
              <w:contextualSpacing/>
              <w:rPr>
                <w:rFonts w:cstheme="minorHAnsi"/>
              </w:rPr>
            </w:pPr>
            <w:r w:rsidRPr="00684CEA">
              <w:rPr>
                <w:rFonts w:cstheme="minorHAnsi"/>
              </w:rPr>
              <w:t>    UNKNOWN</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C1E54CB" w14:textId="77777777" w:rsidR="009042DC" w:rsidRPr="00684CEA" w:rsidRDefault="009042DC" w:rsidP="00EE3799">
            <w:pPr>
              <w:spacing w:after="0" w:line="240" w:lineRule="auto"/>
              <w:contextualSpacing/>
              <w:rPr>
                <w:rFonts w:cstheme="minorHAnsi"/>
              </w:rPr>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2A7E0E4" w14:textId="77777777" w:rsidR="009042DC" w:rsidRPr="00684CEA" w:rsidRDefault="009042DC" w:rsidP="00EE3799">
            <w:pPr>
              <w:spacing w:after="0" w:line="240" w:lineRule="auto"/>
              <w:contextualSpacing/>
              <w:rPr>
                <w:rFonts w:cstheme="minorHAnsi"/>
              </w:rPr>
            </w:pPr>
            <w:r w:rsidRPr="00684CEA">
              <w:rPr>
                <w:rFonts w:cstheme="minorHAnsi"/>
              </w:rPr>
              <w:t>2,869 (2.8%)</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D6B48F1" w14:textId="77777777" w:rsidR="009042DC" w:rsidRPr="00684CEA" w:rsidRDefault="009042DC" w:rsidP="00EE3799">
            <w:pPr>
              <w:spacing w:after="0" w:line="240" w:lineRule="auto"/>
              <w:contextualSpacing/>
              <w:rPr>
                <w:rFonts w:cstheme="minorHAnsi"/>
              </w:rPr>
            </w:pPr>
            <w:r w:rsidRPr="00684CEA">
              <w:rPr>
                <w:rFonts w:cstheme="minorHAnsi"/>
              </w:rPr>
              <w:t>364 (2.6%)</w:t>
            </w:r>
          </w:p>
        </w:tc>
      </w:tr>
      <w:tr w:rsidR="009042DC" w:rsidRPr="00684CEA" w14:paraId="0683C77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948CA96" w14:textId="77777777" w:rsidR="009042DC" w:rsidRPr="00684CEA" w:rsidRDefault="009042DC" w:rsidP="00EE3799">
            <w:pPr>
              <w:contextualSpacing/>
            </w:pPr>
            <w:r w:rsidRPr="00684CEA">
              <w:t>Hospital daily census</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890DFEA" w14:textId="77777777" w:rsidR="009042DC" w:rsidRPr="00684CEA" w:rsidRDefault="009042DC" w:rsidP="00EE3799">
            <w:pPr>
              <w:contextualSpacing/>
            </w:pPr>
            <w:r w:rsidRPr="00684CEA">
              <w:t>3 (&lt;0.1%)</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8EB04EC" w14:textId="77777777" w:rsidR="009042DC" w:rsidRPr="00684CEA" w:rsidRDefault="009042DC" w:rsidP="00EE3799">
            <w:pPr>
              <w:contextualSpacing/>
            </w:pPr>
            <w:r w:rsidRPr="00684CEA">
              <w:t>125.0 (92.0, 179.0)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B28C7C0" w14:textId="77777777" w:rsidR="009042DC" w:rsidRPr="00684CEA" w:rsidRDefault="009042DC" w:rsidP="00EE3799">
            <w:pPr>
              <w:contextualSpacing/>
            </w:pPr>
            <w:r w:rsidRPr="00684CEA">
              <w:t>131.0 (93.0, 180.0)</w:t>
            </w:r>
          </w:p>
        </w:tc>
      </w:tr>
      <w:tr w:rsidR="009042DC" w:rsidRPr="00684CEA" w14:paraId="6C0C73AD"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887512F" w14:textId="77777777" w:rsidR="009042DC" w:rsidRPr="00684CEA" w:rsidRDefault="009042DC" w:rsidP="00EE3799">
            <w:pPr>
              <w:contextualSpacing/>
            </w:pPr>
            <w:r w:rsidRPr="00684CEA">
              <w:t>Hospital daily census/median census ratio</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A4239B6" w14:textId="77777777" w:rsidR="009042DC" w:rsidRPr="00684CEA" w:rsidRDefault="009042DC" w:rsidP="00EE3799">
            <w:pPr>
              <w:contextualSpacing/>
            </w:pPr>
            <w:r w:rsidRPr="00684CEA">
              <w:t>3 (&lt;0.1%)</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9ACD973" w14:textId="77777777" w:rsidR="009042DC" w:rsidRPr="00684CEA" w:rsidRDefault="009042DC" w:rsidP="00EE3799">
            <w:pPr>
              <w:contextualSpacing/>
            </w:pPr>
            <w:r w:rsidRPr="00684CEA">
              <w:t>1.0 (0.9, 1.1)</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71F04EB" w14:textId="77777777" w:rsidR="009042DC" w:rsidRPr="00684CEA" w:rsidRDefault="009042DC" w:rsidP="00EE3799">
            <w:pPr>
              <w:contextualSpacing/>
            </w:pPr>
            <w:r w:rsidRPr="00684CEA">
              <w:t>1.0 (0.9, 1.0)</w:t>
            </w:r>
          </w:p>
        </w:tc>
      </w:tr>
      <w:tr w:rsidR="009042DC" w:rsidRPr="00684CEA" w14:paraId="2A01C7E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4BE988D" w14:textId="77777777" w:rsidR="009042DC" w:rsidRPr="00684CEA" w:rsidRDefault="009042DC" w:rsidP="00EE3799">
            <w:pPr>
              <w:contextualSpacing/>
            </w:pPr>
            <w:r w:rsidRPr="00684CEA">
              <w:t>SNF prior 60 days</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EEF37DC"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A3EB636" w14:textId="77777777" w:rsidR="009042DC" w:rsidRPr="00684CEA" w:rsidRDefault="009042DC" w:rsidP="00EE3799">
            <w:pPr>
              <w:contextualSpacing/>
            </w:pPr>
            <w:r w:rsidRPr="00684CEA">
              <w:t>2,656 (2.6%)</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2E0ED71" w14:textId="77777777" w:rsidR="009042DC" w:rsidRPr="00684CEA" w:rsidRDefault="009042DC" w:rsidP="00EE3799">
            <w:pPr>
              <w:contextualSpacing/>
            </w:pPr>
            <w:r w:rsidRPr="00684CEA">
              <w:t>3,365 (23.7%)</w:t>
            </w:r>
          </w:p>
        </w:tc>
      </w:tr>
      <w:tr w:rsidR="009042DC" w:rsidRPr="00684CEA" w14:paraId="6D58D48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15E4661" w14:textId="77777777" w:rsidR="009042DC" w:rsidRPr="00684CEA" w:rsidRDefault="009042DC" w:rsidP="00EE3799">
            <w:pPr>
              <w:contextualSpacing/>
            </w:pPr>
            <w:r w:rsidRPr="00684CEA">
              <w:t>SNF type prior 60 days</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8BEB4D5"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72C0EB2" w14:textId="77777777" w:rsidR="009042DC" w:rsidRPr="00684CEA" w:rsidRDefault="009042DC" w:rsidP="00EE3799">
            <w:pPr>
              <w:contextualSpacing/>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03C88CC" w14:textId="77777777" w:rsidR="009042DC" w:rsidRPr="00684CEA" w:rsidRDefault="009042DC" w:rsidP="00EE3799">
            <w:pPr>
              <w:contextualSpacing/>
            </w:pPr>
          </w:p>
        </w:tc>
      </w:tr>
      <w:tr w:rsidR="009042DC" w:rsidRPr="00684CEA" w14:paraId="603358A0"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3DEE1EB" w14:textId="77777777" w:rsidR="009042DC" w:rsidRPr="00684CEA" w:rsidRDefault="009042DC" w:rsidP="00EE3799">
            <w:pPr>
              <w:contextualSpacing/>
            </w:pPr>
            <w:r w:rsidRPr="00684CEA">
              <w:t>    No SNF</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88DACF2"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E3078B7" w14:textId="77777777" w:rsidR="009042DC" w:rsidRPr="00684CEA" w:rsidRDefault="009042DC" w:rsidP="00EE3799">
            <w:pPr>
              <w:contextualSpacing/>
            </w:pPr>
            <w:r w:rsidRPr="00684CEA">
              <w:t>101,418 (97.4%)</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493ABD1" w14:textId="77777777" w:rsidR="009042DC" w:rsidRPr="00684CEA" w:rsidRDefault="009042DC" w:rsidP="00EE3799">
            <w:pPr>
              <w:contextualSpacing/>
            </w:pPr>
            <w:r w:rsidRPr="00684CEA">
              <w:t>10,809 (76.3%)</w:t>
            </w:r>
          </w:p>
        </w:tc>
      </w:tr>
      <w:tr w:rsidR="009042DC" w:rsidRPr="00684CEA" w14:paraId="7EDE7625"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CDBDAF4" w14:textId="77777777" w:rsidR="009042DC" w:rsidRPr="00684CEA" w:rsidRDefault="009042DC" w:rsidP="00EE3799">
            <w:pPr>
              <w:contextualSpacing/>
            </w:pPr>
            <w:r w:rsidRPr="00684CEA">
              <w:t>    Custodial</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96B7A8A"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B48C6F0" w14:textId="77777777" w:rsidR="009042DC" w:rsidRPr="00684CEA" w:rsidRDefault="009042DC" w:rsidP="00EE3799">
            <w:pPr>
              <w:contextualSpacing/>
            </w:pPr>
            <w:r w:rsidRPr="00684CEA">
              <w:t>268 (0.3%)</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204D7FB" w14:textId="77777777" w:rsidR="009042DC" w:rsidRPr="00684CEA" w:rsidRDefault="009042DC" w:rsidP="00EE3799">
            <w:pPr>
              <w:contextualSpacing/>
            </w:pPr>
            <w:r w:rsidRPr="00684CEA">
              <w:t>1,136 (8.0%)</w:t>
            </w:r>
          </w:p>
        </w:tc>
      </w:tr>
      <w:tr w:rsidR="009042DC" w:rsidRPr="00684CEA" w14:paraId="5CB8F3C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76771F6" w14:textId="77777777" w:rsidR="009042DC" w:rsidRPr="00684CEA" w:rsidRDefault="009042DC" w:rsidP="00EE3799">
            <w:pPr>
              <w:contextualSpacing/>
            </w:pPr>
            <w:r w:rsidRPr="00684CEA">
              <w:t>    Skilled</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68BC269"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AADFA08" w14:textId="77777777" w:rsidR="009042DC" w:rsidRPr="00684CEA" w:rsidRDefault="009042DC" w:rsidP="00EE3799">
            <w:pPr>
              <w:contextualSpacing/>
            </w:pPr>
            <w:r w:rsidRPr="00684CEA">
              <w:t>2,388 (2.3%)</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F5DCE1C" w14:textId="77777777" w:rsidR="009042DC" w:rsidRPr="00684CEA" w:rsidRDefault="009042DC" w:rsidP="00EE3799">
            <w:pPr>
              <w:contextualSpacing/>
            </w:pPr>
            <w:r w:rsidRPr="00684CEA">
              <w:t>2,229 (15.7%)</w:t>
            </w:r>
          </w:p>
        </w:tc>
      </w:tr>
      <w:tr w:rsidR="009042DC" w:rsidRPr="00684CEA" w14:paraId="6235569B"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E6CA01D" w14:textId="77777777" w:rsidR="009042DC" w:rsidRPr="00684CEA" w:rsidRDefault="009042DC" w:rsidP="00EE3799">
            <w:pPr>
              <w:contextualSpacing/>
            </w:pPr>
            <w:r w:rsidRPr="00684CEA">
              <w:t>Admit direct from SNF</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8474050"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07B3DB8" w14:textId="77777777" w:rsidR="009042DC" w:rsidRPr="00684CEA" w:rsidRDefault="009042DC" w:rsidP="00EE3799">
            <w:pPr>
              <w:contextualSpacing/>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2FB6A99" w14:textId="77777777" w:rsidR="009042DC" w:rsidRPr="00684CEA" w:rsidRDefault="009042DC" w:rsidP="00EE3799">
            <w:pPr>
              <w:contextualSpacing/>
            </w:pPr>
          </w:p>
        </w:tc>
      </w:tr>
      <w:tr w:rsidR="009042DC" w:rsidRPr="00684CEA" w14:paraId="04523D87"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3486F25" w14:textId="77777777" w:rsidR="009042DC" w:rsidRPr="00684CEA" w:rsidRDefault="009042DC" w:rsidP="00EE3799">
            <w:pPr>
              <w:contextualSpacing/>
            </w:pPr>
            <w:r w:rsidRPr="00684CEA">
              <w:t>    Yes</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CDCBB6D"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B0F2E66" w14:textId="77777777" w:rsidR="009042DC" w:rsidRPr="00684CEA" w:rsidRDefault="009042DC" w:rsidP="00EE3799">
            <w:pPr>
              <w:contextualSpacing/>
            </w:pPr>
            <w:r w:rsidRPr="00684CEA">
              <w:t>782 (0.8%)</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073C4D0" w14:textId="77777777" w:rsidR="009042DC" w:rsidRPr="00684CEA" w:rsidRDefault="009042DC" w:rsidP="00EE3799">
            <w:pPr>
              <w:contextualSpacing/>
            </w:pPr>
            <w:r w:rsidRPr="00684CEA">
              <w:t>2,417 (17.1%)</w:t>
            </w:r>
          </w:p>
        </w:tc>
      </w:tr>
      <w:tr w:rsidR="009042DC" w:rsidRPr="00684CEA" w14:paraId="789FFD16"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20F0EFA" w14:textId="77777777" w:rsidR="009042DC" w:rsidRPr="00684CEA" w:rsidRDefault="009042DC" w:rsidP="00EE3799">
            <w:pPr>
              <w:contextualSpacing/>
            </w:pPr>
            <w:r w:rsidRPr="00684CEA">
              <w:t>Hospital admit category</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BE69BA"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1EB0DC5" w14:textId="77777777" w:rsidR="009042DC" w:rsidRPr="00684CEA" w:rsidRDefault="009042DC" w:rsidP="00EE3799">
            <w:pPr>
              <w:contextualSpacing/>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17BE229" w14:textId="77777777" w:rsidR="009042DC" w:rsidRPr="00684CEA" w:rsidRDefault="009042DC" w:rsidP="00EE3799">
            <w:pPr>
              <w:contextualSpacing/>
            </w:pPr>
          </w:p>
        </w:tc>
      </w:tr>
      <w:tr w:rsidR="009042DC" w:rsidRPr="00684CEA" w14:paraId="3F0680A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CBD1CB2" w14:textId="77777777" w:rsidR="009042DC" w:rsidRPr="00684CEA" w:rsidRDefault="009042DC" w:rsidP="00EE3799">
            <w:pPr>
              <w:contextualSpacing/>
            </w:pPr>
            <w:r w:rsidRPr="00684CEA">
              <w:t>    MEDICAL</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E029B1F"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505F8E2" w14:textId="77777777" w:rsidR="009042DC" w:rsidRPr="00684CEA" w:rsidRDefault="009042DC" w:rsidP="00EE3799">
            <w:pPr>
              <w:contextualSpacing/>
            </w:pPr>
            <w:r w:rsidRPr="00684CEA">
              <w:t>60,604 (58.2%)</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129E36D" w14:textId="77777777" w:rsidR="009042DC" w:rsidRPr="00684CEA" w:rsidRDefault="009042DC" w:rsidP="00EE3799">
            <w:pPr>
              <w:contextualSpacing/>
            </w:pPr>
            <w:r w:rsidRPr="00684CEA">
              <w:t>8,071 (56.9%)</w:t>
            </w:r>
          </w:p>
        </w:tc>
      </w:tr>
      <w:tr w:rsidR="009042DC" w:rsidRPr="00684CEA" w14:paraId="74B63485"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783298A" w14:textId="77777777" w:rsidR="009042DC" w:rsidRPr="00684CEA" w:rsidRDefault="009042DC" w:rsidP="00EE3799">
            <w:pPr>
              <w:contextualSpacing/>
            </w:pPr>
            <w:r w:rsidRPr="00684CEA">
              <w:t>    SURGICAL</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DDD7D61"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51FE1F5" w14:textId="77777777" w:rsidR="009042DC" w:rsidRPr="00684CEA" w:rsidRDefault="009042DC" w:rsidP="00EE3799">
            <w:pPr>
              <w:contextualSpacing/>
            </w:pPr>
            <w:r w:rsidRPr="00684CEA">
              <w:t>43,470 (41.8%)</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32C4740" w14:textId="77777777" w:rsidR="009042DC" w:rsidRPr="00684CEA" w:rsidRDefault="009042DC" w:rsidP="00EE3799">
            <w:pPr>
              <w:contextualSpacing/>
            </w:pPr>
            <w:r w:rsidRPr="00684CEA">
              <w:t>6,103 (43.1%)</w:t>
            </w:r>
          </w:p>
        </w:tc>
      </w:tr>
      <w:tr w:rsidR="009042DC" w:rsidRPr="00684CEA" w14:paraId="5FC864F3"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D09BD18" w14:textId="77777777" w:rsidR="009042DC" w:rsidRPr="00684CEA" w:rsidRDefault="009042DC" w:rsidP="00EE3799">
            <w:pPr>
              <w:contextualSpacing/>
            </w:pPr>
            <w:r w:rsidRPr="00684CEA">
              <w:t>Insurance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9A7EF0D"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A8A9B71" w14:textId="77777777" w:rsidR="009042DC" w:rsidRPr="00684CEA" w:rsidRDefault="009042DC" w:rsidP="00EE3799">
            <w:pPr>
              <w:contextualSpacing/>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27A1019" w14:textId="77777777" w:rsidR="009042DC" w:rsidRPr="00684CEA" w:rsidRDefault="009042DC" w:rsidP="00EE3799">
            <w:pPr>
              <w:contextualSpacing/>
            </w:pPr>
          </w:p>
        </w:tc>
      </w:tr>
      <w:tr w:rsidR="009042DC" w:rsidRPr="00684CEA" w14:paraId="762E8D72"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5D59E43" w14:textId="77777777" w:rsidR="009042DC" w:rsidRPr="00684CEA" w:rsidRDefault="009042DC" w:rsidP="00EE3799">
            <w:pPr>
              <w:contextualSpacing/>
            </w:pPr>
            <w:r w:rsidRPr="00684CEA">
              <w:t>    Commercial HMO</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F253DF8"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2C70D77" w14:textId="77777777" w:rsidR="009042DC" w:rsidRPr="00684CEA" w:rsidRDefault="009042DC" w:rsidP="00EE3799">
            <w:pPr>
              <w:contextualSpacing/>
            </w:pPr>
            <w:r w:rsidRPr="00684CEA">
              <w:t>35,801 (34.4%)</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95C54D0" w14:textId="77777777" w:rsidR="009042DC" w:rsidRPr="00684CEA" w:rsidRDefault="009042DC" w:rsidP="00EE3799">
            <w:pPr>
              <w:contextualSpacing/>
            </w:pPr>
            <w:r w:rsidRPr="00684CEA">
              <w:t>1,877 (13.2%)</w:t>
            </w:r>
          </w:p>
        </w:tc>
      </w:tr>
      <w:tr w:rsidR="009042DC" w:rsidRPr="00684CEA" w14:paraId="32335433"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2F53F1A" w14:textId="77777777" w:rsidR="009042DC" w:rsidRPr="00684CEA" w:rsidRDefault="009042DC" w:rsidP="00EE3799">
            <w:pPr>
              <w:contextualSpacing/>
            </w:pPr>
            <w:r w:rsidRPr="00684CEA">
              <w:t>    Medi-Cal</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582CFD7"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66C4DA3" w14:textId="77777777" w:rsidR="009042DC" w:rsidRPr="00684CEA" w:rsidRDefault="009042DC" w:rsidP="00EE3799">
            <w:pPr>
              <w:contextualSpacing/>
            </w:pPr>
            <w:r w:rsidRPr="00684CEA">
              <w:t>5,154 (5.0%)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3EB3A96" w14:textId="77777777" w:rsidR="009042DC" w:rsidRPr="00684CEA" w:rsidRDefault="009042DC" w:rsidP="00EE3799">
            <w:pPr>
              <w:contextualSpacing/>
            </w:pPr>
            <w:r w:rsidRPr="00684CEA">
              <w:t>293 (2.1%)</w:t>
            </w:r>
          </w:p>
        </w:tc>
      </w:tr>
      <w:tr w:rsidR="009042DC" w:rsidRPr="00684CEA" w14:paraId="367C281A"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31FBD8" w14:textId="77777777" w:rsidR="009042DC" w:rsidRPr="00684CEA" w:rsidRDefault="009042DC" w:rsidP="00EE3799">
            <w:pPr>
              <w:contextualSpacing/>
            </w:pPr>
            <w:r w:rsidRPr="00684CEA">
              <w:t>    Medi-Medi (</w:t>
            </w:r>
            <w:proofErr w:type="spellStart"/>
            <w:r w:rsidRPr="00684CEA">
              <w:t>Mcare</w:t>
            </w:r>
            <w:proofErr w:type="spellEnd"/>
            <w:r w:rsidRPr="00684CEA">
              <w:t xml:space="preserve"> Risk)</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978D12"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F0BD244" w14:textId="77777777" w:rsidR="009042DC" w:rsidRPr="00684CEA" w:rsidRDefault="009042DC" w:rsidP="00EE3799">
            <w:pPr>
              <w:contextualSpacing/>
            </w:pPr>
            <w:r w:rsidRPr="00684CEA">
              <w:t>5,800 (5.6%)</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38E55BD" w14:textId="77777777" w:rsidR="009042DC" w:rsidRPr="00684CEA" w:rsidRDefault="009042DC" w:rsidP="00EE3799">
            <w:pPr>
              <w:contextualSpacing/>
            </w:pPr>
            <w:r w:rsidRPr="00684CEA">
              <w:t>1,334 (9.4%)</w:t>
            </w:r>
          </w:p>
        </w:tc>
      </w:tr>
      <w:tr w:rsidR="009042DC" w:rsidRPr="00684CEA" w14:paraId="082EEB08"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41B2B69" w14:textId="77777777" w:rsidR="009042DC" w:rsidRPr="00684CEA" w:rsidRDefault="009042DC" w:rsidP="00EE3799">
            <w:pPr>
              <w:contextualSpacing/>
            </w:pPr>
            <w:r w:rsidRPr="00684CEA">
              <w:t>    Medicare Risk</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15D3D4D"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1058ADD" w14:textId="77777777" w:rsidR="009042DC" w:rsidRPr="00684CEA" w:rsidRDefault="009042DC" w:rsidP="00EE3799">
            <w:pPr>
              <w:contextualSpacing/>
            </w:pPr>
            <w:r w:rsidRPr="00684CEA">
              <w:t>47,769 (45.9%)</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CAD1C99" w14:textId="77777777" w:rsidR="009042DC" w:rsidRPr="00684CEA" w:rsidRDefault="009042DC" w:rsidP="00EE3799">
            <w:pPr>
              <w:contextualSpacing/>
            </w:pPr>
            <w:r w:rsidRPr="00684CEA">
              <w:t>9,426 (66.5%)</w:t>
            </w:r>
          </w:p>
        </w:tc>
      </w:tr>
      <w:tr w:rsidR="009042DC" w:rsidRPr="00684CEA" w14:paraId="1E415A8C"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AFB5665" w14:textId="77777777" w:rsidR="009042DC" w:rsidRPr="00684CEA" w:rsidRDefault="009042DC" w:rsidP="00EE3799">
            <w:pPr>
              <w:contextualSpacing/>
            </w:pPr>
            <w:r w:rsidRPr="00684CEA">
              <w:t>    Misc/Unknown</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72E14EA"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DE545FF" w14:textId="77777777" w:rsidR="009042DC" w:rsidRPr="00684CEA" w:rsidRDefault="009042DC" w:rsidP="00EE3799">
            <w:pPr>
              <w:contextualSpacing/>
            </w:pPr>
            <w:r w:rsidRPr="00684CEA">
              <w:t>9,550 (9.2%)</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FBB448C" w14:textId="77777777" w:rsidR="009042DC" w:rsidRPr="00684CEA" w:rsidRDefault="009042DC" w:rsidP="00EE3799">
            <w:pPr>
              <w:contextualSpacing/>
            </w:pPr>
            <w:r w:rsidRPr="00684CEA">
              <w:t>1,244 (8.8%)</w:t>
            </w:r>
          </w:p>
        </w:tc>
      </w:tr>
      <w:tr w:rsidR="009042DC" w:rsidRPr="00684CEA" w14:paraId="2703F85B"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C3B5C5D" w14:textId="77777777" w:rsidR="009042DC" w:rsidRPr="00684CEA" w:rsidRDefault="009042DC" w:rsidP="00EE3799">
            <w:pPr>
              <w:contextualSpacing/>
            </w:pPr>
            <w:r w:rsidRPr="00684CEA">
              <w:t>Social support at home info collected</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C533BC5"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028C231" w14:textId="77777777" w:rsidR="009042DC" w:rsidRPr="00684CEA" w:rsidRDefault="009042DC" w:rsidP="00EE3799">
            <w:pPr>
              <w:contextualSpacing/>
            </w:pPr>
            <w:r w:rsidRPr="00684CEA">
              <w:t>618 (0.6%)</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AEB288" w14:textId="77777777" w:rsidR="009042DC" w:rsidRPr="00684CEA" w:rsidRDefault="009042DC" w:rsidP="00EE3799">
            <w:pPr>
              <w:contextualSpacing/>
            </w:pPr>
            <w:r w:rsidRPr="00684CEA">
              <w:t>121 (0.9%)</w:t>
            </w:r>
          </w:p>
        </w:tc>
      </w:tr>
      <w:tr w:rsidR="009042DC" w:rsidRPr="00684CEA" w14:paraId="5344A814"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E5B72BB" w14:textId="77777777" w:rsidR="009042DC" w:rsidRPr="00684CEA" w:rsidRDefault="009042DC" w:rsidP="00EE3799">
            <w:pPr>
              <w:contextualSpacing/>
            </w:pPr>
            <w:r w:rsidRPr="00684CEA">
              <w:t>Social support at home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54D4832" w14:textId="77777777" w:rsidR="009042DC" w:rsidRPr="00684CEA" w:rsidRDefault="009042DC" w:rsidP="00EE3799">
            <w:pPr>
              <w:contextualSpacing/>
            </w:pPr>
            <w:r w:rsidRPr="00684CEA">
              <w:t>0 (0%)</w:t>
            </w: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0D7A552" w14:textId="77777777" w:rsidR="009042DC" w:rsidRPr="00684CEA" w:rsidRDefault="009042DC" w:rsidP="00EE3799">
            <w:pPr>
              <w:contextualSpacing/>
            </w:pP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BEDF7B4" w14:textId="77777777" w:rsidR="009042DC" w:rsidRPr="00684CEA" w:rsidRDefault="009042DC" w:rsidP="00EE3799">
            <w:pPr>
              <w:contextualSpacing/>
            </w:pPr>
          </w:p>
        </w:tc>
      </w:tr>
      <w:tr w:rsidR="009042DC" w:rsidRPr="00684CEA" w14:paraId="0531205A"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BF0F27E" w14:textId="77777777" w:rsidR="009042DC" w:rsidRPr="00684CEA" w:rsidRDefault="009042DC" w:rsidP="00EE3799">
            <w:pPr>
              <w:contextualSpacing/>
            </w:pPr>
            <w:r w:rsidRPr="00684CEA">
              <w:t>    Live alone in own home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5937C7A"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61B30B4" w14:textId="77777777" w:rsidR="009042DC" w:rsidRPr="00684CEA" w:rsidRDefault="009042DC" w:rsidP="00EE3799">
            <w:pPr>
              <w:contextualSpacing/>
            </w:pPr>
            <w:r w:rsidRPr="00684CEA">
              <w:t>142 (0.1%)</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C28682C" w14:textId="77777777" w:rsidR="009042DC" w:rsidRPr="00684CEA" w:rsidRDefault="009042DC" w:rsidP="00EE3799">
            <w:pPr>
              <w:contextualSpacing/>
            </w:pPr>
            <w:r w:rsidRPr="00684CEA">
              <w:t>38 (0.3%)</w:t>
            </w:r>
          </w:p>
        </w:tc>
      </w:tr>
      <w:tr w:rsidR="009042DC" w:rsidRPr="00684CEA" w14:paraId="0AFE9528"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8B2D14B" w14:textId="77777777" w:rsidR="009042DC" w:rsidRPr="00684CEA" w:rsidRDefault="009042DC" w:rsidP="00EE3799">
            <w:pPr>
              <w:contextualSpacing/>
            </w:pPr>
            <w:r w:rsidRPr="00684CEA">
              <w:t>    Live in a household with other people</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F1417B8"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0DEAFC9" w14:textId="77777777" w:rsidR="009042DC" w:rsidRPr="00684CEA" w:rsidRDefault="009042DC" w:rsidP="00EE3799">
            <w:pPr>
              <w:contextualSpacing/>
            </w:pPr>
            <w:r w:rsidRPr="00684CEA">
              <w:t>420 (0.4%)</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4A0A5F80" w14:textId="77777777" w:rsidR="009042DC" w:rsidRPr="00684CEA" w:rsidRDefault="009042DC" w:rsidP="00EE3799">
            <w:pPr>
              <w:contextualSpacing/>
            </w:pPr>
            <w:r w:rsidRPr="00684CEA">
              <w:t>65 (0.5%)</w:t>
            </w:r>
          </w:p>
        </w:tc>
      </w:tr>
      <w:tr w:rsidR="009042DC" w:rsidRPr="00684CEA" w14:paraId="51CFF529"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3ACE955" w14:textId="77777777" w:rsidR="009042DC" w:rsidRPr="00684CEA" w:rsidRDefault="009042DC" w:rsidP="00EE3799">
            <w:pPr>
              <w:contextualSpacing/>
            </w:pPr>
            <w:r w:rsidRPr="00684CEA">
              <w:t>    Nursing home or residential facility</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B805EDB"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6C3F6DE" w14:textId="77777777" w:rsidR="009042DC" w:rsidRPr="00684CEA" w:rsidRDefault="009042DC" w:rsidP="00EE3799">
            <w:pPr>
              <w:contextualSpacing/>
            </w:pPr>
            <w:r w:rsidRPr="00684CEA">
              <w:t>39 (0.0%)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6E24724" w14:textId="77777777" w:rsidR="009042DC" w:rsidRPr="00684CEA" w:rsidRDefault="009042DC" w:rsidP="00EE3799">
            <w:pPr>
              <w:contextualSpacing/>
            </w:pPr>
            <w:r w:rsidRPr="00684CEA">
              <w:t>14 (0.1%)</w:t>
            </w:r>
          </w:p>
        </w:tc>
      </w:tr>
      <w:tr w:rsidR="009042DC" w:rsidRPr="00684CEA" w14:paraId="7451527A"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31FD11DE" w14:textId="77777777" w:rsidR="009042DC" w:rsidRPr="00684CEA" w:rsidRDefault="009042DC" w:rsidP="00EE3799">
            <w:pPr>
              <w:contextualSpacing/>
            </w:pPr>
            <w:r w:rsidRPr="00684CEA">
              <w:t>    Unknown/Other</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54A341AC"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161B3D07" w14:textId="77777777" w:rsidR="009042DC" w:rsidRPr="00684CEA" w:rsidRDefault="009042DC" w:rsidP="00EE3799">
            <w:pPr>
              <w:contextualSpacing/>
            </w:pPr>
            <w:r w:rsidRPr="00684CEA">
              <w:t>103,463 (99.4%)</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E00EB58" w14:textId="77777777" w:rsidR="009042DC" w:rsidRPr="00684CEA" w:rsidRDefault="009042DC" w:rsidP="00EE3799">
            <w:pPr>
              <w:contextualSpacing/>
            </w:pPr>
            <w:r w:rsidRPr="00684CEA">
              <w:t>14,056 (99.2%)</w:t>
            </w:r>
          </w:p>
        </w:tc>
      </w:tr>
      <w:tr w:rsidR="009042DC" w:rsidRPr="00684CEA" w14:paraId="48A08890" w14:textId="77777777" w:rsidTr="00EE3799">
        <w:trPr>
          <w:trHeight w:val="256"/>
        </w:trPr>
        <w:tc>
          <w:tcPr>
            <w:tcW w:w="36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6ED60568" w14:textId="77777777" w:rsidR="009042DC" w:rsidRPr="00684CEA" w:rsidRDefault="009042DC" w:rsidP="00EE3799">
            <w:pPr>
              <w:contextualSpacing/>
            </w:pPr>
            <w:r w:rsidRPr="00684CEA">
              <w:t xml:space="preserve">    Housing insecurity</w:t>
            </w:r>
          </w:p>
        </w:tc>
        <w:tc>
          <w:tcPr>
            <w:tcW w:w="166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239A66FC" w14:textId="77777777" w:rsidR="009042DC" w:rsidRPr="00684CEA" w:rsidRDefault="009042DC" w:rsidP="00EE3799">
            <w:pPr>
              <w:contextualSpacing/>
            </w:pPr>
          </w:p>
        </w:tc>
        <w:tc>
          <w:tcPr>
            <w:tcW w:w="272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756DA34A" w14:textId="77777777" w:rsidR="009042DC" w:rsidRPr="00684CEA" w:rsidRDefault="009042DC" w:rsidP="00EE3799">
            <w:pPr>
              <w:contextualSpacing/>
            </w:pPr>
            <w:r w:rsidRPr="00684CEA">
              <w:t>10 (0.0%)</w:t>
            </w:r>
          </w:p>
        </w:tc>
        <w:tc>
          <w:tcPr>
            <w:tcW w:w="2380" w:type="dxa"/>
            <w:tcBorders>
              <w:top w:val="single" w:sz="8" w:space="0" w:color="003B71"/>
              <w:left w:val="single" w:sz="8" w:space="0" w:color="003B71"/>
              <w:bottom w:val="single" w:sz="8" w:space="0" w:color="003B71"/>
              <w:right w:val="single" w:sz="8" w:space="0" w:color="003B71"/>
            </w:tcBorders>
            <w:shd w:val="clear" w:color="auto" w:fill="auto"/>
            <w:tcMar>
              <w:top w:w="46" w:type="dxa"/>
              <w:left w:w="29" w:type="dxa"/>
              <w:bottom w:w="46" w:type="dxa"/>
              <w:right w:w="29" w:type="dxa"/>
            </w:tcMar>
            <w:vAlign w:val="center"/>
            <w:hideMark/>
          </w:tcPr>
          <w:p w14:paraId="0A1E549C" w14:textId="77777777" w:rsidR="009042DC" w:rsidRPr="00684CEA" w:rsidRDefault="009042DC" w:rsidP="00EE3799">
            <w:pPr>
              <w:contextualSpacing/>
            </w:pPr>
            <w:r w:rsidRPr="00684CEA">
              <w:t>1 (0.0%)</w:t>
            </w:r>
          </w:p>
        </w:tc>
      </w:tr>
    </w:tbl>
    <w:p w14:paraId="51A3D660" w14:textId="77777777" w:rsidR="009042DC" w:rsidRDefault="009042DC" w:rsidP="009042DC">
      <w:pPr>
        <w:contextualSpacing/>
      </w:pPr>
    </w:p>
    <w:p w14:paraId="15640774" w14:textId="77777777" w:rsidR="009042DC" w:rsidRDefault="009042DC" w:rsidP="009042DC">
      <w:pPr>
        <w:rPr>
          <w:b/>
          <w:bCs/>
        </w:rPr>
      </w:pPr>
      <w:r>
        <w:rPr>
          <w:b/>
          <w:bCs/>
        </w:rPr>
        <w:br w:type="page"/>
      </w:r>
    </w:p>
    <w:p w14:paraId="397EBA2B" w14:textId="77777777" w:rsidR="009042DC" w:rsidRPr="00CB75F2" w:rsidRDefault="009042DC" w:rsidP="009042DC">
      <w:pPr>
        <w:contextualSpacing/>
        <w:rPr>
          <w:b/>
          <w:bCs/>
        </w:rPr>
      </w:pPr>
      <w:r w:rsidRPr="00CB75F2">
        <w:rPr>
          <w:b/>
          <w:bCs/>
        </w:rPr>
        <w:lastRenderedPageBreak/>
        <w:t>Figure 1. Model Discrimination</w:t>
      </w:r>
    </w:p>
    <w:p w14:paraId="4DB8D2F8" w14:textId="77777777" w:rsidR="009042DC" w:rsidRDefault="009042DC" w:rsidP="009042DC">
      <w:pPr>
        <w:contextualSpacing/>
      </w:pPr>
      <w:r w:rsidRPr="00684CEA">
        <w:rPr>
          <w:noProof/>
        </w:rPr>
        <w:drawing>
          <wp:inline distT="0" distB="0" distL="0" distR="0" wp14:anchorId="3747EA19" wp14:editId="5CEC953A">
            <wp:extent cx="6858000" cy="2947035"/>
            <wp:effectExtent l="0" t="0" r="0" b="5715"/>
            <wp:docPr id="7" name="Picture 6">
              <a:extLst xmlns:a="http://schemas.openxmlformats.org/drawingml/2006/main">
                <a:ext uri="{FF2B5EF4-FFF2-40B4-BE49-F238E27FC236}">
                  <a16:creationId xmlns:a16="http://schemas.microsoft.com/office/drawing/2014/main" id="{01D3E9C4-727A-669D-A4DF-C40F0A7D4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1D3E9C4-727A-669D-A4DF-C40F0A7D41EF}"/>
                        </a:ext>
                      </a:extLst>
                    </pic:cNvPr>
                    <pic:cNvPicPr>
                      <a:picLocks noChangeAspect="1"/>
                    </pic:cNvPicPr>
                  </pic:nvPicPr>
                  <pic:blipFill>
                    <a:blip r:embed="rId10"/>
                    <a:stretch>
                      <a:fillRect/>
                    </a:stretch>
                  </pic:blipFill>
                  <pic:spPr>
                    <a:xfrm>
                      <a:off x="0" y="0"/>
                      <a:ext cx="6858000" cy="2947035"/>
                    </a:xfrm>
                    <a:prstGeom prst="rect">
                      <a:avLst/>
                    </a:prstGeom>
                  </pic:spPr>
                </pic:pic>
              </a:graphicData>
            </a:graphic>
          </wp:inline>
        </w:drawing>
      </w:r>
    </w:p>
    <w:p w14:paraId="46825BA5" w14:textId="77777777" w:rsidR="009042DC" w:rsidRDefault="009042DC" w:rsidP="009042DC">
      <w:pPr>
        <w:contextualSpacing/>
      </w:pPr>
    </w:p>
    <w:p w14:paraId="1202A3D5" w14:textId="77777777" w:rsidR="009042DC" w:rsidRDefault="009042DC" w:rsidP="009042DC">
      <w:pPr>
        <w:contextualSpacing/>
      </w:pPr>
    </w:p>
    <w:p w14:paraId="0A53E285" w14:textId="77777777" w:rsidR="009042DC" w:rsidRPr="00CB75F2" w:rsidRDefault="009042DC" w:rsidP="009042DC">
      <w:pPr>
        <w:contextualSpacing/>
        <w:rPr>
          <w:b/>
          <w:bCs/>
        </w:rPr>
      </w:pPr>
      <w:r w:rsidRPr="00CB75F2">
        <w:rPr>
          <w:b/>
          <w:bCs/>
        </w:rPr>
        <w:t>Figure 2. Model</w:t>
      </w:r>
      <w:r>
        <w:rPr>
          <w:b/>
          <w:bCs/>
        </w:rPr>
        <w:t>s’</w:t>
      </w:r>
      <w:r w:rsidRPr="00CB75F2">
        <w:rPr>
          <w:b/>
          <w:bCs/>
        </w:rPr>
        <w:t xml:space="preserve"> Num</w:t>
      </w:r>
      <w:r>
        <w:rPr>
          <w:b/>
          <w:bCs/>
        </w:rPr>
        <w:t>b</w:t>
      </w:r>
      <w:r w:rsidRPr="00CB75F2">
        <w:rPr>
          <w:b/>
          <w:bCs/>
        </w:rPr>
        <w:t>er Needed to Evaluate (NNE)</w:t>
      </w:r>
      <w:r>
        <w:rPr>
          <w:b/>
          <w:bCs/>
        </w:rPr>
        <w:t xml:space="preserve"> vs. Sensitivity</w:t>
      </w:r>
    </w:p>
    <w:p w14:paraId="4F25CE60" w14:textId="77777777" w:rsidR="009042DC" w:rsidRDefault="009042DC" w:rsidP="009042DC">
      <w:pPr>
        <w:contextualSpacing/>
      </w:pPr>
      <w:r>
        <w:rPr>
          <w:noProof/>
        </w:rPr>
        <w:drawing>
          <wp:inline distT="0" distB="0" distL="0" distR="0" wp14:anchorId="7B25AB3B" wp14:editId="57343F5D">
            <wp:extent cx="4988611" cy="3324386"/>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317" cy="3351512"/>
                    </a:xfrm>
                    <a:prstGeom prst="rect">
                      <a:avLst/>
                    </a:prstGeom>
                    <a:noFill/>
                  </pic:spPr>
                </pic:pic>
              </a:graphicData>
            </a:graphic>
          </wp:inline>
        </w:drawing>
      </w:r>
    </w:p>
    <w:p w14:paraId="786B0C58" w14:textId="77777777" w:rsidR="009042DC" w:rsidRDefault="009042DC" w:rsidP="009042DC">
      <w:pPr>
        <w:contextualSpacing/>
      </w:pPr>
    </w:p>
    <w:p w14:paraId="3DC57325" w14:textId="77777777" w:rsidR="009042DC" w:rsidRDefault="009042DC" w:rsidP="009042DC">
      <w:pPr>
        <w:rPr>
          <w:b/>
          <w:bCs/>
        </w:rPr>
      </w:pPr>
      <w:r>
        <w:rPr>
          <w:b/>
          <w:bCs/>
        </w:rPr>
        <w:br w:type="page"/>
      </w:r>
    </w:p>
    <w:p w14:paraId="5ADF30ED" w14:textId="77777777" w:rsidR="009042DC" w:rsidRDefault="009042DC" w:rsidP="009042DC">
      <w:pPr>
        <w:contextualSpacing/>
        <w:rPr>
          <w:b/>
          <w:bCs/>
        </w:rPr>
      </w:pPr>
      <w:r>
        <w:rPr>
          <w:b/>
          <w:bCs/>
        </w:rPr>
        <w:lastRenderedPageBreak/>
        <w:t>Figure 3. Inter-facility Observed to Expected Ratios</w:t>
      </w:r>
    </w:p>
    <w:p w14:paraId="3F64CFCF" w14:textId="77777777" w:rsidR="009042DC" w:rsidRDefault="009042DC" w:rsidP="009042DC">
      <w:pPr>
        <w:contextualSpacing/>
        <w:rPr>
          <w:b/>
          <w:bCs/>
        </w:rPr>
      </w:pPr>
      <w:r>
        <w:rPr>
          <w:b/>
          <w:bCs/>
        </w:rPr>
        <w:t>SNF Discharge</w:t>
      </w:r>
      <w:r>
        <w:rPr>
          <w:b/>
          <w:bCs/>
        </w:rPr>
        <w:tab/>
      </w:r>
      <w:r>
        <w:rPr>
          <w:b/>
          <w:bCs/>
        </w:rPr>
        <w:tab/>
      </w:r>
      <w:r>
        <w:rPr>
          <w:b/>
          <w:bCs/>
        </w:rPr>
        <w:tab/>
      </w:r>
      <w:r>
        <w:rPr>
          <w:b/>
          <w:bCs/>
        </w:rPr>
        <w:tab/>
      </w:r>
      <w:r>
        <w:rPr>
          <w:b/>
          <w:bCs/>
        </w:rPr>
        <w:tab/>
      </w:r>
      <w:r>
        <w:rPr>
          <w:b/>
          <w:bCs/>
        </w:rPr>
        <w:tab/>
      </w:r>
      <w:r>
        <w:rPr>
          <w:b/>
          <w:bCs/>
        </w:rPr>
        <w:tab/>
        <w:t>PT Consult</w:t>
      </w:r>
    </w:p>
    <w:p w14:paraId="19851EA1" w14:textId="77777777" w:rsidR="009042DC" w:rsidRDefault="009042DC" w:rsidP="009042DC">
      <w:pPr>
        <w:contextualSpacing/>
        <w:rPr>
          <w:b/>
          <w:bCs/>
        </w:rPr>
      </w:pPr>
      <w:r w:rsidRPr="00A76137">
        <w:rPr>
          <w:b/>
          <w:bCs/>
          <w:noProof/>
        </w:rPr>
        <w:drawing>
          <wp:inline distT="0" distB="0" distL="0" distR="0" wp14:anchorId="45B0D2E0" wp14:editId="2B96AD46">
            <wp:extent cx="2843435" cy="1793423"/>
            <wp:effectExtent l="0" t="0" r="0" b="0"/>
            <wp:docPr id="34" name="Picture 33">
              <a:extLst xmlns:a="http://schemas.openxmlformats.org/drawingml/2006/main">
                <a:ext uri="{FF2B5EF4-FFF2-40B4-BE49-F238E27FC236}">
                  <a16:creationId xmlns:a16="http://schemas.microsoft.com/office/drawing/2014/main" id="{6A67D54B-78A3-4692-B565-525501EFB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6A67D54B-78A3-4692-B565-525501EFB9F5}"/>
                        </a:ext>
                      </a:extLst>
                    </pic:cNvPr>
                    <pic:cNvPicPr>
                      <a:picLocks noChangeAspect="1"/>
                    </pic:cNvPicPr>
                  </pic:nvPicPr>
                  <pic:blipFill>
                    <a:blip r:embed="rId12"/>
                    <a:stretch>
                      <a:fillRect/>
                    </a:stretch>
                  </pic:blipFill>
                  <pic:spPr>
                    <a:xfrm>
                      <a:off x="0" y="0"/>
                      <a:ext cx="2890150" cy="1822887"/>
                    </a:xfrm>
                    <a:prstGeom prst="rect">
                      <a:avLst/>
                    </a:prstGeom>
                  </pic:spPr>
                </pic:pic>
              </a:graphicData>
            </a:graphic>
          </wp:inline>
        </w:drawing>
      </w:r>
      <w:r>
        <w:rPr>
          <w:b/>
          <w:bCs/>
        </w:rPr>
        <w:tab/>
      </w:r>
      <w:r>
        <w:rPr>
          <w:b/>
          <w:bCs/>
        </w:rPr>
        <w:tab/>
      </w:r>
      <w:r w:rsidRPr="00A76137">
        <w:rPr>
          <w:b/>
          <w:bCs/>
          <w:noProof/>
        </w:rPr>
        <w:drawing>
          <wp:inline distT="0" distB="0" distL="0" distR="0" wp14:anchorId="4E821E5C" wp14:editId="70D397A5">
            <wp:extent cx="3151775" cy="1908756"/>
            <wp:effectExtent l="0" t="0" r="0" b="0"/>
            <wp:docPr id="9" name="Picture 9">
              <a:extLst xmlns:a="http://schemas.openxmlformats.org/drawingml/2006/main">
                <a:ext uri="{FF2B5EF4-FFF2-40B4-BE49-F238E27FC236}">
                  <a16:creationId xmlns:a16="http://schemas.microsoft.com/office/drawing/2014/main" id="{984B0E93-D8DA-0600-A002-93D0A8B49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84B0E93-D8DA-0600-A002-93D0A8B4966E}"/>
                        </a:ext>
                      </a:extLst>
                    </pic:cNvPr>
                    <pic:cNvPicPr>
                      <a:picLocks noChangeAspect="1"/>
                    </pic:cNvPicPr>
                  </pic:nvPicPr>
                  <pic:blipFill>
                    <a:blip r:embed="rId13"/>
                    <a:stretch>
                      <a:fillRect/>
                    </a:stretch>
                  </pic:blipFill>
                  <pic:spPr>
                    <a:xfrm>
                      <a:off x="0" y="0"/>
                      <a:ext cx="3191363" cy="1932731"/>
                    </a:xfrm>
                    <a:prstGeom prst="rect">
                      <a:avLst/>
                    </a:prstGeom>
                  </pic:spPr>
                </pic:pic>
              </a:graphicData>
            </a:graphic>
          </wp:inline>
        </w:drawing>
      </w:r>
    </w:p>
    <w:p w14:paraId="22F4C594" w14:textId="77777777" w:rsidR="009042DC" w:rsidRDefault="009042DC" w:rsidP="009042DC">
      <w:pPr>
        <w:contextualSpacing/>
        <w:rPr>
          <w:b/>
          <w:bCs/>
        </w:rPr>
      </w:pPr>
    </w:p>
    <w:p w14:paraId="234C965C" w14:textId="77777777" w:rsidR="009042DC" w:rsidRDefault="009042DC" w:rsidP="009042DC">
      <w:pPr>
        <w:contextualSpacing/>
        <w:rPr>
          <w:b/>
          <w:bCs/>
        </w:rPr>
      </w:pPr>
    </w:p>
    <w:p w14:paraId="4C3107DC" w14:textId="77777777" w:rsidR="009042DC" w:rsidRPr="00C90380" w:rsidRDefault="009042DC" w:rsidP="009042DC">
      <w:pPr>
        <w:contextualSpacing/>
        <w:rPr>
          <w:b/>
          <w:bCs/>
        </w:rPr>
      </w:pPr>
      <w:r w:rsidRPr="00C90380">
        <w:rPr>
          <w:b/>
          <w:bCs/>
        </w:rPr>
        <w:t xml:space="preserve">Figure </w:t>
      </w:r>
      <w:r>
        <w:rPr>
          <w:b/>
          <w:bCs/>
        </w:rPr>
        <w:t>4</w:t>
      </w:r>
      <w:r w:rsidRPr="00C90380">
        <w:rPr>
          <w:b/>
          <w:bCs/>
        </w:rPr>
        <w:t>. Skilled SNF Model</w:t>
      </w:r>
      <w:r>
        <w:rPr>
          <w:b/>
          <w:bCs/>
        </w:rPr>
        <w:t xml:space="preserve"> </w:t>
      </w:r>
      <w:r w:rsidRPr="00CB75F2">
        <w:rPr>
          <w:b/>
          <w:bCs/>
        </w:rPr>
        <w:t>Num</w:t>
      </w:r>
      <w:r>
        <w:rPr>
          <w:b/>
          <w:bCs/>
        </w:rPr>
        <w:t>b</w:t>
      </w:r>
      <w:r w:rsidRPr="00CB75F2">
        <w:rPr>
          <w:b/>
          <w:bCs/>
        </w:rPr>
        <w:t>er Needed to Evaluate (NNE)</w:t>
      </w:r>
      <w:r>
        <w:rPr>
          <w:b/>
          <w:bCs/>
        </w:rPr>
        <w:t xml:space="preserve"> vs. Sensitivity</w:t>
      </w:r>
    </w:p>
    <w:p w14:paraId="100764DB" w14:textId="77777777" w:rsidR="009042DC" w:rsidRDefault="009042DC" w:rsidP="009042DC">
      <w:pPr>
        <w:contextualSpacing/>
      </w:pPr>
      <w:r w:rsidRPr="00C90380">
        <w:rPr>
          <w:noProof/>
        </w:rPr>
        <w:drawing>
          <wp:inline distT="0" distB="0" distL="0" distR="0" wp14:anchorId="006D882F" wp14:editId="050E34A4">
            <wp:extent cx="4998203" cy="2745772"/>
            <wp:effectExtent l="0" t="0" r="0" b="0"/>
            <wp:docPr id="6" name="Picture 5">
              <a:extLst xmlns:a="http://schemas.openxmlformats.org/drawingml/2006/main">
                <a:ext uri="{FF2B5EF4-FFF2-40B4-BE49-F238E27FC236}">
                  <a16:creationId xmlns:a16="http://schemas.microsoft.com/office/drawing/2014/main" id="{07A83B20-B4FA-48C1-B3B6-06E2EAF78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83B20-B4FA-48C1-B3B6-06E2EAF784E1}"/>
                        </a:ext>
                      </a:extLst>
                    </pic:cNvPr>
                    <pic:cNvPicPr>
                      <a:picLocks noChangeAspect="1"/>
                    </pic:cNvPicPr>
                  </pic:nvPicPr>
                  <pic:blipFill>
                    <a:blip r:embed="rId14"/>
                    <a:stretch>
                      <a:fillRect/>
                    </a:stretch>
                  </pic:blipFill>
                  <pic:spPr>
                    <a:xfrm>
                      <a:off x="0" y="0"/>
                      <a:ext cx="5004677" cy="2749329"/>
                    </a:xfrm>
                    <a:prstGeom prst="rect">
                      <a:avLst/>
                    </a:prstGeom>
                  </pic:spPr>
                </pic:pic>
              </a:graphicData>
            </a:graphic>
          </wp:inline>
        </w:drawing>
      </w:r>
    </w:p>
    <w:p w14:paraId="06B4E88C" w14:textId="77777777" w:rsidR="009042DC" w:rsidRDefault="009042DC" w:rsidP="009042DC">
      <w:pPr>
        <w:contextualSpacing/>
        <w:rPr>
          <w:b/>
          <w:bCs/>
        </w:rPr>
      </w:pPr>
      <w:r>
        <w:rPr>
          <w:b/>
          <w:bCs/>
        </w:rPr>
        <w:t>Figure 5. Inter-facility Observed to Expected Ratios for Skilled SNF Discharge Model</w:t>
      </w:r>
    </w:p>
    <w:p w14:paraId="654A052B" w14:textId="77777777" w:rsidR="009042DC" w:rsidRDefault="009042DC" w:rsidP="009042DC">
      <w:pPr>
        <w:contextualSpacing/>
        <w:rPr>
          <w:b/>
          <w:bCs/>
        </w:rPr>
      </w:pPr>
    </w:p>
    <w:p w14:paraId="63B5394E" w14:textId="77777777" w:rsidR="009042DC" w:rsidRDefault="009042DC" w:rsidP="009042DC">
      <w:pPr>
        <w:contextualSpacing/>
        <w:rPr>
          <w:b/>
          <w:bCs/>
        </w:rPr>
      </w:pPr>
      <w:r>
        <w:rPr>
          <w:b/>
          <w:bCs/>
        </w:rPr>
        <w:tab/>
        <w:t>Skilled SNF Discharge</w:t>
      </w:r>
      <w:r>
        <w:rPr>
          <w:b/>
          <w:bCs/>
        </w:rPr>
        <w:tab/>
      </w:r>
      <w:r>
        <w:rPr>
          <w:b/>
          <w:bCs/>
        </w:rPr>
        <w:tab/>
      </w:r>
      <w:r>
        <w:rPr>
          <w:b/>
          <w:bCs/>
        </w:rPr>
        <w:tab/>
      </w:r>
      <w:r>
        <w:rPr>
          <w:b/>
          <w:bCs/>
        </w:rPr>
        <w:tab/>
      </w:r>
      <w:r>
        <w:rPr>
          <w:b/>
          <w:bCs/>
        </w:rPr>
        <w:tab/>
      </w:r>
      <w:r>
        <w:rPr>
          <w:b/>
          <w:bCs/>
        </w:rPr>
        <w:tab/>
        <w:t>SNF Discharge</w:t>
      </w:r>
    </w:p>
    <w:p w14:paraId="3A645AC0" w14:textId="77777777" w:rsidR="009042DC" w:rsidRDefault="009042DC" w:rsidP="009042DC">
      <w:pPr>
        <w:contextualSpacing/>
        <w:rPr>
          <w:b/>
          <w:bCs/>
        </w:rPr>
      </w:pPr>
      <w:r w:rsidRPr="00A76137">
        <w:rPr>
          <w:b/>
          <w:bCs/>
          <w:noProof/>
        </w:rPr>
        <w:drawing>
          <wp:inline distT="0" distB="0" distL="0" distR="0" wp14:anchorId="0D062896" wp14:editId="404FB986">
            <wp:extent cx="3113275" cy="1808707"/>
            <wp:effectExtent l="0" t="0" r="0" b="1270"/>
            <wp:docPr id="10" name="Picture 9">
              <a:extLst xmlns:a="http://schemas.openxmlformats.org/drawingml/2006/main">
                <a:ext uri="{FF2B5EF4-FFF2-40B4-BE49-F238E27FC236}">
                  <a16:creationId xmlns:a16="http://schemas.microsoft.com/office/drawing/2014/main" id="{D69BC0D8-4223-4FE8-B10E-3AFAFEAE0E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69BC0D8-4223-4FE8-B10E-3AFAFEAE0EC7}"/>
                        </a:ext>
                      </a:extLst>
                    </pic:cNvPr>
                    <pic:cNvPicPr>
                      <a:picLocks noChangeAspect="1"/>
                    </pic:cNvPicPr>
                  </pic:nvPicPr>
                  <pic:blipFill>
                    <a:blip r:embed="rId15"/>
                    <a:stretch>
                      <a:fillRect/>
                    </a:stretch>
                  </pic:blipFill>
                  <pic:spPr>
                    <a:xfrm>
                      <a:off x="0" y="0"/>
                      <a:ext cx="3144168" cy="1826655"/>
                    </a:xfrm>
                    <a:prstGeom prst="rect">
                      <a:avLst/>
                    </a:prstGeom>
                  </pic:spPr>
                </pic:pic>
              </a:graphicData>
            </a:graphic>
          </wp:inline>
        </w:drawing>
      </w:r>
      <w:r>
        <w:rPr>
          <w:b/>
          <w:bCs/>
        </w:rPr>
        <w:tab/>
      </w:r>
      <w:r>
        <w:rPr>
          <w:b/>
          <w:bCs/>
        </w:rPr>
        <w:tab/>
      </w:r>
      <w:r w:rsidRPr="00A76137">
        <w:rPr>
          <w:b/>
          <w:bCs/>
          <w:noProof/>
        </w:rPr>
        <w:drawing>
          <wp:inline distT="0" distB="0" distL="0" distR="0" wp14:anchorId="4D8D18A3" wp14:editId="38F6F1CB">
            <wp:extent cx="3115159" cy="1853844"/>
            <wp:effectExtent l="0" t="0" r="9525" b="0"/>
            <wp:docPr id="15" name="Picture 14">
              <a:extLst xmlns:a="http://schemas.openxmlformats.org/drawingml/2006/main">
                <a:ext uri="{FF2B5EF4-FFF2-40B4-BE49-F238E27FC236}">
                  <a16:creationId xmlns:a16="http://schemas.microsoft.com/office/drawing/2014/main" id="{0CD44AB6-E77A-4A5F-AD65-4FB2B21AFC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CD44AB6-E77A-4A5F-AD65-4FB2B21AFC59}"/>
                        </a:ext>
                      </a:extLst>
                    </pic:cNvPr>
                    <pic:cNvPicPr>
                      <a:picLocks noChangeAspect="1"/>
                    </pic:cNvPicPr>
                  </pic:nvPicPr>
                  <pic:blipFill rotWithShape="1">
                    <a:blip r:embed="rId12"/>
                    <a:srcRect t="5648"/>
                    <a:stretch/>
                  </pic:blipFill>
                  <pic:spPr>
                    <a:xfrm>
                      <a:off x="0" y="0"/>
                      <a:ext cx="3147521" cy="1873103"/>
                    </a:xfrm>
                    <a:prstGeom prst="rect">
                      <a:avLst/>
                    </a:prstGeom>
                  </pic:spPr>
                </pic:pic>
              </a:graphicData>
            </a:graphic>
          </wp:inline>
        </w:drawing>
      </w:r>
    </w:p>
    <w:p w14:paraId="36FA436E" w14:textId="77777777" w:rsidR="009042DC" w:rsidRDefault="009042DC" w:rsidP="009042DC">
      <w:pPr>
        <w:contextualSpacing/>
      </w:pPr>
    </w:p>
    <w:p w14:paraId="008CEF00" w14:textId="72D28D75" w:rsidR="009042DC" w:rsidRDefault="009042DC" w:rsidP="009042DC"/>
    <w:sectPr w:rsidR="009042DC" w:rsidSect="002A5BC0">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6D9C" w14:textId="77777777" w:rsidR="00A477ED" w:rsidRDefault="00A477ED" w:rsidP="00746FF7">
      <w:pPr>
        <w:spacing w:after="0" w:line="240" w:lineRule="auto"/>
      </w:pPr>
      <w:r>
        <w:separator/>
      </w:r>
    </w:p>
  </w:endnote>
  <w:endnote w:type="continuationSeparator" w:id="0">
    <w:p w14:paraId="78F5EBC7" w14:textId="77777777" w:rsidR="00A477ED" w:rsidRDefault="00A477ED" w:rsidP="0074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AB86" w14:textId="77777777" w:rsidR="00A477ED" w:rsidRDefault="00A477ED" w:rsidP="00746FF7">
      <w:pPr>
        <w:spacing w:after="0" w:line="240" w:lineRule="auto"/>
      </w:pPr>
      <w:r>
        <w:separator/>
      </w:r>
    </w:p>
  </w:footnote>
  <w:footnote w:type="continuationSeparator" w:id="0">
    <w:p w14:paraId="03CF1DB9" w14:textId="77777777" w:rsidR="00A477ED" w:rsidRDefault="00A477ED" w:rsidP="0074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A028" w14:textId="77777777" w:rsidR="00D45D92" w:rsidRPr="002B4A88" w:rsidRDefault="00D45D92" w:rsidP="00D45D92">
    <w:pPr>
      <w:spacing w:after="0" w:line="240" w:lineRule="auto"/>
      <w:rPr>
        <w:rFonts w:ascii="Arial" w:hAnsi="Arial" w:cs="Arial"/>
        <w:bCs/>
      </w:rPr>
    </w:pPr>
    <w:r w:rsidRPr="00142C37">
      <w:rPr>
        <w:rFonts w:ascii="Arial" w:hAnsi="Arial" w:cs="Arial"/>
        <w:bCs/>
      </w:rPr>
      <w:t xml:space="preserve">Delivery Science </w:t>
    </w:r>
    <w:r>
      <w:rPr>
        <w:rFonts w:ascii="Arial" w:hAnsi="Arial" w:cs="Arial"/>
        <w:bCs/>
      </w:rPr>
      <w:t>and Applied Research</w:t>
    </w:r>
    <w:r w:rsidRPr="00142C37">
      <w:rPr>
        <w:rFonts w:ascii="Arial" w:hAnsi="Arial" w:cs="Arial"/>
        <w:bCs/>
      </w:rPr>
      <w:t xml:space="preserve"> </w:t>
    </w:r>
  </w:p>
  <w:p w14:paraId="571E1539" w14:textId="0093F2EA" w:rsidR="00746FF7" w:rsidRDefault="00D45D92">
    <w:pPr>
      <w:pStyle w:val="Header"/>
    </w:pPr>
    <w:r>
      <w:rPr>
        <w:rFonts w:ascii="Arial" w:hAnsi="Arial" w:cs="Arial"/>
      </w:rPr>
      <w:t>Targeted Analysis Program</w:t>
    </w:r>
  </w:p>
  <w:p w14:paraId="6249841E" w14:textId="77777777" w:rsidR="00746FF7" w:rsidRDefault="00746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C8F"/>
    <w:multiLevelType w:val="hybridMultilevel"/>
    <w:tmpl w:val="7F9AB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035CC"/>
    <w:multiLevelType w:val="hybridMultilevel"/>
    <w:tmpl w:val="CE6CAE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496A61"/>
    <w:multiLevelType w:val="hybridMultilevel"/>
    <w:tmpl w:val="B8BEC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8B5267"/>
    <w:multiLevelType w:val="hybridMultilevel"/>
    <w:tmpl w:val="7D6C262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00B76E7"/>
    <w:multiLevelType w:val="hybridMultilevel"/>
    <w:tmpl w:val="8F4CD7CC"/>
    <w:lvl w:ilvl="0" w:tplc="654A55E0">
      <w:start w:val="1"/>
      <w:numFmt w:val="bullet"/>
      <w:lvlText w:val="•"/>
      <w:lvlJc w:val="left"/>
      <w:pPr>
        <w:tabs>
          <w:tab w:val="num" w:pos="720"/>
        </w:tabs>
        <w:ind w:left="720" w:hanging="360"/>
      </w:pPr>
      <w:rPr>
        <w:rFonts w:ascii="Arial" w:hAnsi="Arial" w:hint="default"/>
      </w:rPr>
    </w:lvl>
    <w:lvl w:ilvl="1" w:tplc="CA2C75B4">
      <w:start w:val="1"/>
      <w:numFmt w:val="bullet"/>
      <w:lvlText w:val="•"/>
      <w:lvlJc w:val="left"/>
      <w:pPr>
        <w:tabs>
          <w:tab w:val="num" w:pos="1440"/>
        </w:tabs>
        <w:ind w:left="1440" w:hanging="360"/>
      </w:pPr>
      <w:rPr>
        <w:rFonts w:ascii="Arial" w:hAnsi="Arial" w:hint="default"/>
      </w:rPr>
    </w:lvl>
    <w:lvl w:ilvl="2" w:tplc="F9AAB480" w:tentative="1">
      <w:start w:val="1"/>
      <w:numFmt w:val="bullet"/>
      <w:lvlText w:val="•"/>
      <w:lvlJc w:val="left"/>
      <w:pPr>
        <w:tabs>
          <w:tab w:val="num" w:pos="2160"/>
        </w:tabs>
        <w:ind w:left="2160" w:hanging="360"/>
      </w:pPr>
      <w:rPr>
        <w:rFonts w:ascii="Arial" w:hAnsi="Arial" w:hint="default"/>
      </w:rPr>
    </w:lvl>
    <w:lvl w:ilvl="3" w:tplc="422619D4" w:tentative="1">
      <w:start w:val="1"/>
      <w:numFmt w:val="bullet"/>
      <w:lvlText w:val="•"/>
      <w:lvlJc w:val="left"/>
      <w:pPr>
        <w:tabs>
          <w:tab w:val="num" w:pos="2880"/>
        </w:tabs>
        <w:ind w:left="2880" w:hanging="360"/>
      </w:pPr>
      <w:rPr>
        <w:rFonts w:ascii="Arial" w:hAnsi="Arial" w:hint="default"/>
      </w:rPr>
    </w:lvl>
    <w:lvl w:ilvl="4" w:tplc="4F001AE0" w:tentative="1">
      <w:start w:val="1"/>
      <w:numFmt w:val="bullet"/>
      <w:lvlText w:val="•"/>
      <w:lvlJc w:val="left"/>
      <w:pPr>
        <w:tabs>
          <w:tab w:val="num" w:pos="3600"/>
        </w:tabs>
        <w:ind w:left="3600" w:hanging="360"/>
      </w:pPr>
      <w:rPr>
        <w:rFonts w:ascii="Arial" w:hAnsi="Arial" w:hint="default"/>
      </w:rPr>
    </w:lvl>
    <w:lvl w:ilvl="5" w:tplc="49582992" w:tentative="1">
      <w:start w:val="1"/>
      <w:numFmt w:val="bullet"/>
      <w:lvlText w:val="•"/>
      <w:lvlJc w:val="left"/>
      <w:pPr>
        <w:tabs>
          <w:tab w:val="num" w:pos="4320"/>
        </w:tabs>
        <w:ind w:left="4320" w:hanging="360"/>
      </w:pPr>
      <w:rPr>
        <w:rFonts w:ascii="Arial" w:hAnsi="Arial" w:hint="default"/>
      </w:rPr>
    </w:lvl>
    <w:lvl w:ilvl="6" w:tplc="32A2F774" w:tentative="1">
      <w:start w:val="1"/>
      <w:numFmt w:val="bullet"/>
      <w:lvlText w:val="•"/>
      <w:lvlJc w:val="left"/>
      <w:pPr>
        <w:tabs>
          <w:tab w:val="num" w:pos="5040"/>
        </w:tabs>
        <w:ind w:left="5040" w:hanging="360"/>
      </w:pPr>
      <w:rPr>
        <w:rFonts w:ascii="Arial" w:hAnsi="Arial" w:hint="default"/>
      </w:rPr>
    </w:lvl>
    <w:lvl w:ilvl="7" w:tplc="D84EC522" w:tentative="1">
      <w:start w:val="1"/>
      <w:numFmt w:val="bullet"/>
      <w:lvlText w:val="•"/>
      <w:lvlJc w:val="left"/>
      <w:pPr>
        <w:tabs>
          <w:tab w:val="num" w:pos="5760"/>
        </w:tabs>
        <w:ind w:left="5760" w:hanging="360"/>
      </w:pPr>
      <w:rPr>
        <w:rFonts w:ascii="Arial" w:hAnsi="Arial" w:hint="default"/>
      </w:rPr>
    </w:lvl>
    <w:lvl w:ilvl="8" w:tplc="5E16D2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171DF"/>
    <w:multiLevelType w:val="hybridMultilevel"/>
    <w:tmpl w:val="DDB2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F1994"/>
    <w:multiLevelType w:val="hybridMultilevel"/>
    <w:tmpl w:val="F9445576"/>
    <w:lvl w:ilvl="0" w:tplc="F5D6C29A">
      <w:start w:val="1"/>
      <w:numFmt w:val="bullet"/>
      <w:lvlText w:val="•"/>
      <w:lvlJc w:val="left"/>
      <w:pPr>
        <w:tabs>
          <w:tab w:val="num" w:pos="720"/>
        </w:tabs>
        <w:ind w:left="720" w:hanging="360"/>
      </w:pPr>
      <w:rPr>
        <w:rFonts w:ascii="Arial" w:hAnsi="Arial" w:hint="default"/>
      </w:rPr>
    </w:lvl>
    <w:lvl w:ilvl="1" w:tplc="335247EC" w:tentative="1">
      <w:start w:val="1"/>
      <w:numFmt w:val="bullet"/>
      <w:lvlText w:val="•"/>
      <w:lvlJc w:val="left"/>
      <w:pPr>
        <w:tabs>
          <w:tab w:val="num" w:pos="1440"/>
        </w:tabs>
        <w:ind w:left="1440" w:hanging="360"/>
      </w:pPr>
      <w:rPr>
        <w:rFonts w:ascii="Arial" w:hAnsi="Arial" w:hint="default"/>
      </w:rPr>
    </w:lvl>
    <w:lvl w:ilvl="2" w:tplc="75BE7FB6" w:tentative="1">
      <w:start w:val="1"/>
      <w:numFmt w:val="bullet"/>
      <w:lvlText w:val="•"/>
      <w:lvlJc w:val="left"/>
      <w:pPr>
        <w:tabs>
          <w:tab w:val="num" w:pos="2160"/>
        </w:tabs>
        <w:ind w:left="2160" w:hanging="360"/>
      </w:pPr>
      <w:rPr>
        <w:rFonts w:ascii="Arial" w:hAnsi="Arial" w:hint="default"/>
      </w:rPr>
    </w:lvl>
    <w:lvl w:ilvl="3" w:tplc="0EC85900" w:tentative="1">
      <w:start w:val="1"/>
      <w:numFmt w:val="bullet"/>
      <w:lvlText w:val="•"/>
      <w:lvlJc w:val="left"/>
      <w:pPr>
        <w:tabs>
          <w:tab w:val="num" w:pos="2880"/>
        </w:tabs>
        <w:ind w:left="2880" w:hanging="360"/>
      </w:pPr>
      <w:rPr>
        <w:rFonts w:ascii="Arial" w:hAnsi="Arial" w:hint="default"/>
      </w:rPr>
    </w:lvl>
    <w:lvl w:ilvl="4" w:tplc="D38A027C" w:tentative="1">
      <w:start w:val="1"/>
      <w:numFmt w:val="bullet"/>
      <w:lvlText w:val="•"/>
      <w:lvlJc w:val="left"/>
      <w:pPr>
        <w:tabs>
          <w:tab w:val="num" w:pos="3600"/>
        </w:tabs>
        <w:ind w:left="3600" w:hanging="360"/>
      </w:pPr>
      <w:rPr>
        <w:rFonts w:ascii="Arial" w:hAnsi="Arial" w:hint="default"/>
      </w:rPr>
    </w:lvl>
    <w:lvl w:ilvl="5" w:tplc="987419F8" w:tentative="1">
      <w:start w:val="1"/>
      <w:numFmt w:val="bullet"/>
      <w:lvlText w:val="•"/>
      <w:lvlJc w:val="left"/>
      <w:pPr>
        <w:tabs>
          <w:tab w:val="num" w:pos="4320"/>
        </w:tabs>
        <w:ind w:left="4320" w:hanging="360"/>
      </w:pPr>
      <w:rPr>
        <w:rFonts w:ascii="Arial" w:hAnsi="Arial" w:hint="default"/>
      </w:rPr>
    </w:lvl>
    <w:lvl w:ilvl="6" w:tplc="9D147194" w:tentative="1">
      <w:start w:val="1"/>
      <w:numFmt w:val="bullet"/>
      <w:lvlText w:val="•"/>
      <w:lvlJc w:val="left"/>
      <w:pPr>
        <w:tabs>
          <w:tab w:val="num" w:pos="5040"/>
        </w:tabs>
        <w:ind w:left="5040" w:hanging="360"/>
      </w:pPr>
      <w:rPr>
        <w:rFonts w:ascii="Arial" w:hAnsi="Arial" w:hint="default"/>
      </w:rPr>
    </w:lvl>
    <w:lvl w:ilvl="7" w:tplc="DAB4DAE6" w:tentative="1">
      <w:start w:val="1"/>
      <w:numFmt w:val="bullet"/>
      <w:lvlText w:val="•"/>
      <w:lvlJc w:val="left"/>
      <w:pPr>
        <w:tabs>
          <w:tab w:val="num" w:pos="5760"/>
        </w:tabs>
        <w:ind w:left="5760" w:hanging="360"/>
      </w:pPr>
      <w:rPr>
        <w:rFonts w:ascii="Arial" w:hAnsi="Arial" w:hint="default"/>
      </w:rPr>
    </w:lvl>
    <w:lvl w:ilvl="8" w:tplc="61EE54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1973D2"/>
    <w:multiLevelType w:val="hybridMultilevel"/>
    <w:tmpl w:val="3BDCC804"/>
    <w:lvl w:ilvl="0" w:tplc="D75ECB60">
      <w:start w:val="1"/>
      <w:numFmt w:val="bullet"/>
      <w:lvlText w:val="•"/>
      <w:lvlJc w:val="left"/>
      <w:pPr>
        <w:tabs>
          <w:tab w:val="num" w:pos="720"/>
        </w:tabs>
        <w:ind w:left="720" w:hanging="360"/>
      </w:pPr>
      <w:rPr>
        <w:rFonts w:ascii="Arial" w:hAnsi="Arial" w:hint="default"/>
      </w:rPr>
    </w:lvl>
    <w:lvl w:ilvl="1" w:tplc="C1C095B8" w:tentative="1">
      <w:start w:val="1"/>
      <w:numFmt w:val="bullet"/>
      <w:lvlText w:val="•"/>
      <w:lvlJc w:val="left"/>
      <w:pPr>
        <w:tabs>
          <w:tab w:val="num" w:pos="1440"/>
        </w:tabs>
        <w:ind w:left="1440" w:hanging="360"/>
      </w:pPr>
      <w:rPr>
        <w:rFonts w:ascii="Arial" w:hAnsi="Arial" w:hint="default"/>
      </w:rPr>
    </w:lvl>
    <w:lvl w:ilvl="2" w:tplc="279269E8" w:tentative="1">
      <w:start w:val="1"/>
      <w:numFmt w:val="bullet"/>
      <w:lvlText w:val="•"/>
      <w:lvlJc w:val="left"/>
      <w:pPr>
        <w:tabs>
          <w:tab w:val="num" w:pos="2160"/>
        </w:tabs>
        <w:ind w:left="2160" w:hanging="360"/>
      </w:pPr>
      <w:rPr>
        <w:rFonts w:ascii="Arial" w:hAnsi="Arial" w:hint="default"/>
      </w:rPr>
    </w:lvl>
    <w:lvl w:ilvl="3" w:tplc="71402D34" w:tentative="1">
      <w:start w:val="1"/>
      <w:numFmt w:val="bullet"/>
      <w:lvlText w:val="•"/>
      <w:lvlJc w:val="left"/>
      <w:pPr>
        <w:tabs>
          <w:tab w:val="num" w:pos="2880"/>
        </w:tabs>
        <w:ind w:left="2880" w:hanging="360"/>
      </w:pPr>
      <w:rPr>
        <w:rFonts w:ascii="Arial" w:hAnsi="Arial" w:hint="default"/>
      </w:rPr>
    </w:lvl>
    <w:lvl w:ilvl="4" w:tplc="96E8E6A2" w:tentative="1">
      <w:start w:val="1"/>
      <w:numFmt w:val="bullet"/>
      <w:lvlText w:val="•"/>
      <w:lvlJc w:val="left"/>
      <w:pPr>
        <w:tabs>
          <w:tab w:val="num" w:pos="3600"/>
        </w:tabs>
        <w:ind w:left="3600" w:hanging="360"/>
      </w:pPr>
      <w:rPr>
        <w:rFonts w:ascii="Arial" w:hAnsi="Arial" w:hint="default"/>
      </w:rPr>
    </w:lvl>
    <w:lvl w:ilvl="5" w:tplc="5B4A9082" w:tentative="1">
      <w:start w:val="1"/>
      <w:numFmt w:val="bullet"/>
      <w:lvlText w:val="•"/>
      <w:lvlJc w:val="left"/>
      <w:pPr>
        <w:tabs>
          <w:tab w:val="num" w:pos="4320"/>
        </w:tabs>
        <w:ind w:left="4320" w:hanging="360"/>
      </w:pPr>
      <w:rPr>
        <w:rFonts w:ascii="Arial" w:hAnsi="Arial" w:hint="default"/>
      </w:rPr>
    </w:lvl>
    <w:lvl w:ilvl="6" w:tplc="62E21212" w:tentative="1">
      <w:start w:val="1"/>
      <w:numFmt w:val="bullet"/>
      <w:lvlText w:val="•"/>
      <w:lvlJc w:val="left"/>
      <w:pPr>
        <w:tabs>
          <w:tab w:val="num" w:pos="5040"/>
        </w:tabs>
        <w:ind w:left="5040" w:hanging="360"/>
      </w:pPr>
      <w:rPr>
        <w:rFonts w:ascii="Arial" w:hAnsi="Arial" w:hint="default"/>
      </w:rPr>
    </w:lvl>
    <w:lvl w:ilvl="7" w:tplc="84E01F8C" w:tentative="1">
      <w:start w:val="1"/>
      <w:numFmt w:val="bullet"/>
      <w:lvlText w:val="•"/>
      <w:lvlJc w:val="left"/>
      <w:pPr>
        <w:tabs>
          <w:tab w:val="num" w:pos="5760"/>
        </w:tabs>
        <w:ind w:left="5760" w:hanging="360"/>
      </w:pPr>
      <w:rPr>
        <w:rFonts w:ascii="Arial" w:hAnsi="Arial" w:hint="default"/>
      </w:rPr>
    </w:lvl>
    <w:lvl w:ilvl="8" w:tplc="C1B826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E02C0F"/>
    <w:multiLevelType w:val="hybridMultilevel"/>
    <w:tmpl w:val="F954C878"/>
    <w:lvl w:ilvl="0" w:tplc="2E780866">
      <w:start w:val="1"/>
      <w:numFmt w:val="bullet"/>
      <w:lvlText w:val="•"/>
      <w:lvlJc w:val="left"/>
      <w:pPr>
        <w:tabs>
          <w:tab w:val="num" w:pos="720"/>
        </w:tabs>
        <w:ind w:left="720" w:hanging="360"/>
      </w:pPr>
      <w:rPr>
        <w:rFonts w:ascii="Arial" w:hAnsi="Arial" w:hint="default"/>
      </w:rPr>
    </w:lvl>
    <w:lvl w:ilvl="1" w:tplc="6EFAF31E" w:tentative="1">
      <w:start w:val="1"/>
      <w:numFmt w:val="bullet"/>
      <w:lvlText w:val="•"/>
      <w:lvlJc w:val="left"/>
      <w:pPr>
        <w:tabs>
          <w:tab w:val="num" w:pos="1440"/>
        </w:tabs>
        <w:ind w:left="1440" w:hanging="360"/>
      </w:pPr>
      <w:rPr>
        <w:rFonts w:ascii="Arial" w:hAnsi="Arial" w:hint="default"/>
      </w:rPr>
    </w:lvl>
    <w:lvl w:ilvl="2" w:tplc="88F49FE6" w:tentative="1">
      <w:start w:val="1"/>
      <w:numFmt w:val="bullet"/>
      <w:lvlText w:val="•"/>
      <w:lvlJc w:val="left"/>
      <w:pPr>
        <w:tabs>
          <w:tab w:val="num" w:pos="2160"/>
        </w:tabs>
        <w:ind w:left="2160" w:hanging="360"/>
      </w:pPr>
      <w:rPr>
        <w:rFonts w:ascii="Arial" w:hAnsi="Arial" w:hint="default"/>
      </w:rPr>
    </w:lvl>
    <w:lvl w:ilvl="3" w:tplc="C9A67EBA" w:tentative="1">
      <w:start w:val="1"/>
      <w:numFmt w:val="bullet"/>
      <w:lvlText w:val="•"/>
      <w:lvlJc w:val="left"/>
      <w:pPr>
        <w:tabs>
          <w:tab w:val="num" w:pos="2880"/>
        </w:tabs>
        <w:ind w:left="2880" w:hanging="360"/>
      </w:pPr>
      <w:rPr>
        <w:rFonts w:ascii="Arial" w:hAnsi="Arial" w:hint="default"/>
      </w:rPr>
    </w:lvl>
    <w:lvl w:ilvl="4" w:tplc="37089BF2" w:tentative="1">
      <w:start w:val="1"/>
      <w:numFmt w:val="bullet"/>
      <w:lvlText w:val="•"/>
      <w:lvlJc w:val="left"/>
      <w:pPr>
        <w:tabs>
          <w:tab w:val="num" w:pos="3600"/>
        </w:tabs>
        <w:ind w:left="3600" w:hanging="360"/>
      </w:pPr>
      <w:rPr>
        <w:rFonts w:ascii="Arial" w:hAnsi="Arial" w:hint="default"/>
      </w:rPr>
    </w:lvl>
    <w:lvl w:ilvl="5" w:tplc="112630CE" w:tentative="1">
      <w:start w:val="1"/>
      <w:numFmt w:val="bullet"/>
      <w:lvlText w:val="•"/>
      <w:lvlJc w:val="left"/>
      <w:pPr>
        <w:tabs>
          <w:tab w:val="num" w:pos="4320"/>
        </w:tabs>
        <w:ind w:left="4320" w:hanging="360"/>
      </w:pPr>
      <w:rPr>
        <w:rFonts w:ascii="Arial" w:hAnsi="Arial" w:hint="default"/>
      </w:rPr>
    </w:lvl>
    <w:lvl w:ilvl="6" w:tplc="D14C02AA" w:tentative="1">
      <w:start w:val="1"/>
      <w:numFmt w:val="bullet"/>
      <w:lvlText w:val="•"/>
      <w:lvlJc w:val="left"/>
      <w:pPr>
        <w:tabs>
          <w:tab w:val="num" w:pos="5040"/>
        </w:tabs>
        <w:ind w:left="5040" w:hanging="360"/>
      </w:pPr>
      <w:rPr>
        <w:rFonts w:ascii="Arial" w:hAnsi="Arial" w:hint="default"/>
      </w:rPr>
    </w:lvl>
    <w:lvl w:ilvl="7" w:tplc="A8DA6084" w:tentative="1">
      <w:start w:val="1"/>
      <w:numFmt w:val="bullet"/>
      <w:lvlText w:val="•"/>
      <w:lvlJc w:val="left"/>
      <w:pPr>
        <w:tabs>
          <w:tab w:val="num" w:pos="5760"/>
        </w:tabs>
        <w:ind w:left="5760" w:hanging="360"/>
      </w:pPr>
      <w:rPr>
        <w:rFonts w:ascii="Arial" w:hAnsi="Arial" w:hint="default"/>
      </w:rPr>
    </w:lvl>
    <w:lvl w:ilvl="8" w:tplc="1FB485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E9154B"/>
    <w:multiLevelType w:val="hybridMultilevel"/>
    <w:tmpl w:val="407C6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0812D4"/>
    <w:multiLevelType w:val="hybridMultilevel"/>
    <w:tmpl w:val="F4A4F244"/>
    <w:lvl w:ilvl="0" w:tplc="D81AF972">
      <w:start w:val="1"/>
      <w:numFmt w:val="bullet"/>
      <w:lvlText w:val=""/>
      <w:lvlJc w:val="left"/>
      <w:pPr>
        <w:tabs>
          <w:tab w:val="num" w:pos="720"/>
        </w:tabs>
        <w:ind w:left="720" w:hanging="360"/>
      </w:pPr>
      <w:rPr>
        <w:rFonts w:ascii="Symbol" w:hAnsi="Symbol" w:hint="default"/>
      </w:rPr>
    </w:lvl>
    <w:lvl w:ilvl="1" w:tplc="0FD6EE60">
      <w:start w:val="1"/>
      <w:numFmt w:val="bullet"/>
      <w:lvlText w:val=""/>
      <w:lvlJc w:val="left"/>
      <w:pPr>
        <w:tabs>
          <w:tab w:val="num" w:pos="1440"/>
        </w:tabs>
        <w:ind w:left="1440" w:hanging="360"/>
      </w:pPr>
      <w:rPr>
        <w:rFonts w:ascii="Symbol" w:hAnsi="Symbol" w:hint="default"/>
      </w:rPr>
    </w:lvl>
    <w:lvl w:ilvl="2" w:tplc="A286A1B6" w:tentative="1">
      <w:start w:val="1"/>
      <w:numFmt w:val="bullet"/>
      <w:lvlText w:val=""/>
      <w:lvlJc w:val="left"/>
      <w:pPr>
        <w:tabs>
          <w:tab w:val="num" w:pos="2160"/>
        </w:tabs>
        <w:ind w:left="2160" w:hanging="360"/>
      </w:pPr>
      <w:rPr>
        <w:rFonts w:ascii="Symbol" w:hAnsi="Symbol" w:hint="default"/>
      </w:rPr>
    </w:lvl>
    <w:lvl w:ilvl="3" w:tplc="5B74CE82" w:tentative="1">
      <w:start w:val="1"/>
      <w:numFmt w:val="bullet"/>
      <w:lvlText w:val=""/>
      <w:lvlJc w:val="left"/>
      <w:pPr>
        <w:tabs>
          <w:tab w:val="num" w:pos="2880"/>
        </w:tabs>
        <w:ind w:left="2880" w:hanging="360"/>
      </w:pPr>
      <w:rPr>
        <w:rFonts w:ascii="Symbol" w:hAnsi="Symbol" w:hint="default"/>
      </w:rPr>
    </w:lvl>
    <w:lvl w:ilvl="4" w:tplc="E2927A9E" w:tentative="1">
      <w:start w:val="1"/>
      <w:numFmt w:val="bullet"/>
      <w:lvlText w:val=""/>
      <w:lvlJc w:val="left"/>
      <w:pPr>
        <w:tabs>
          <w:tab w:val="num" w:pos="3600"/>
        </w:tabs>
        <w:ind w:left="3600" w:hanging="360"/>
      </w:pPr>
      <w:rPr>
        <w:rFonts w:ascii="Symbol" w:hAnsi="Symbol" w:hint="default"/>
      </w:rPr>
    </w:lvl>
    <w:lvl w:ilvl="5" w:tplc="7D466A36" w:tentative="1">
      <w:start w:val="1"/>
      <w:numFmt w:val="bullet"/>
      <w:lvlText w:val=""/>
      <w:lvlJc w:val="left"/>
      <w:pPr>
        <w:tabs>
          <w:tab w:val="num" w:pos="4320"/>
        </w:tabs>
        <w:ind w:left="4320" w:hanging="360"/>
      </w:pPr>
      <w:rPr>
        <w:rFonts w:ascii="Symbol" w:hAnsi="Symbol" w:hint="default"/>
      </w:rPr>
    </w:lvl>
    <w:lvl w:ilvl="6" w:tplc="0150940E" w:tentative="1">
      <w:start w:val="1"/>
      <w:numFmt w:val="bullet"/>
      <w:lvlText w:val=""/>
      <w:lvlJc w:val="left"/>
      <w:pPr>
        <w:tabs>
          <w:tab w:val="num" w:pos="5040"/>
        </w:tabs>
        <w:ind w:left="5040" w:hanging="360"/>
      </w:pPr>
      <w:rPr>
        <w:rFonts w:ascii="Symbol" w:hAnsi="Symbol" w:hint="default"/>
      </w:rPr>
    </w:lvl>
    <w:lvl w:ilvl="7" w:tplc="6BF2A18C" w:tentative="1">
      <w:start w:val="1"/>
      <w:numFmt w:val="bullet"/>
      <w:lvlText w:val=""/>
      <w:lvlJc w:val="left"/>
      <w:pPr>
        <w:tabs>
          <w:tab w:val="num" w:pos="5760"/>
        </w:tabs>
        <w:ind w:left="5760" w:hanging="360"/>
      </w:pPr>
      <w:rPr>
        <w:rFonts w:ascii="Symbol" w:hAnsi="Symbol" w:hint="default"/>
      </w:rPr>
    </w:lvl>
    <w:lvl w:ilvl="8" w:tplc="FA261A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D23061A"/>
    <w:multiLevelType w:val="hybridMultilevel"/>
    <w:tmpl w:val="810C3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4"/>
  </w:num>
  <w:num w:numId="4">
    <w:abstractNumId w:val="2"/>
  </w:num>
  <w:num w:numId="5">
    <w:abstractNumId w:val="9"/>
  </w:num>
  <w:num w:numId="6">
    <w:abstractNumId w:val="3"/>
  </w:num>
  <w:num w:numId="7">
    <w:abstractNumId w:val="7"/>
  </w:num>
  <w:num w:numId="8">
    <w:abstractNumId w:val="8"/>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F7"/>
    <w:rsid w:val="00006850"/>
    <w:rsid w:val="00021B77"/>
    <w:rsid w:val="00045398"/>
    <w:rsid w:val="00053C62"/>
    <w:rsid w:val="00065EBB"/>
    <w:rsid w:val="00077647"/>
    <w:rsid w:val="000864C8"/>
    <w:rsid w:val="00087854"/>
    <w:rsid w:val="000F1293"/>
    <w:rsid w:val="001C45C1"/>
    <w:rsid w:val="001E26D4"/>
    <w:rsid w:val="001F7F5F"/>
    <w:rsid w:val="00221AE7"/>
    <w:rsid w:val="002340B7"/>
    <w:rsid w:val="002A5BC0"/>
    <w:rsid w:val="002A7D72"/>
    <w:rsid w:val="00306324"/>
    <w:rsid w:val="00340113"/>
    <w:rsid w:val="0037724E"/>
    <w:rsid w:val="003B445A"/>
    <w:rsid w:val="003C0946"/>
    <w:rsid w:val="003C390D"/>
    <w:rsid w:val="003C4176"/>
    <w:rsid w:val="00420901"/>
    <w:rsid w:val="00426C21"/>
    <w:rsid w:val="00457040"/>
    <w:rsid w:val="004657E7"/>
    <w:rsid w:val="004B011A"/>
    <w:rsid w:val="004B0792"/>
    <w:rsid w:val="004F4119"/>
    <w:rsid w:val="004F7DBC"/>
    <w:rsid w:val="005237FE"/>
    <w:rsid w:val="005262AF"/>
    <w:rsid w:val="00540292"/>
    <w:rsid w:val="0056724A"/>
    <w:rsid w:val="00576333"/>
    <w:rsid w:val="005C23F5"/>
    <w:rsid w:val="005D4725"/>
    <w:rsid w:val="0061617C"/>
    <w:rsid w:val="00635BE0"/>
    <w:rsid w:val="006408B8"/>
    <w:rsid w:val="0065193B"/>
    <w:rsid w:val="006721AA"/>
    <w:rsid w:val="00684CEA"/>
    <w:rsid w:val="006C43BA"/>
    <w:rsid w:val="006F1357"/>
    <w:rsid w:val="006F2ABC"/>
    <w:rsid w:val="00722A5C"/>
    <w:rsid w:val="007460D1"/>
    <w:rsid w:val="00746FF7"/>
    <w:rsid w:val="00747DAB"/>
    <w:rsid w:val="00761249"/>
    <w:rsid w:val="00767607"/>
    <w:rsid w:val="00770FF6"/>
    <w:rsid w:val="007839B0"/>
    <w:rsid w:val="007A75C3"/>
    <w:rsid w:val="007B06A4"/>
    <w:rsid w:val="007B0951"/>
    <w:rsid w:val="007B14F5"/>
    <w:rsid w:val="007C14EF"/>
    <w:rsid w:val="007D12B1"/>
    <w:rsid w:val="007E046B"/>
    <w:rsid w:val="00810994"/>
    <w:rsid w:val="008412B4"/>
    <w:rsid w:val="00855FDB"/>
    <w:rsid w:val="00857194"/>
    <w:rsid w:val="00897D81"/>
    <w:rsid w:val="008D7A92"/>
    <w:rsid w:val="009042DC"/>
    <w:rsid w:val="00906DB3"/>
    <w:rsid w:val="00923CF7"/>
    <w:rsid w:val="009243EE"/>
    <w:rsid w:val="00943B8F"/>
    <w:rsid w:val="00944DF3"/>
    <w:rsid w:val="009921AA"/>
    <w:rsid w:val="0099736E"/>
    <w:rsid w:val="009B0454"/>
    <w:rsid w:val="009B21D5"/>
    <w:rsid w:val="009B3224"/>
    <w:rsid w:val="009B5CAF"/>
    <w:rsid w:val="009E218E"/>
    <w:rsid w:val="009F4923"/>
    <w:rsid w:val="00A008D4"/>
    <w:rsid w:val="00A2439B"/>
    <w:rsid w:val="00A30DBD"/>
    <w:rsid w:val="00A44224"/>
    <w:rsid w:val="00A4432B"/>
    <w:rsid w:val="00A477ED"/>
    <w:rsid w:val="00A525B5"/>
    <w:rsid w:val="00A55D9C"/>
    <w:rsid w:val="00A76137"/>
    <w:rsid w:val="00A81CD3"/>
    <w:rsid w:val="00AA12CD"/>
    <w:rsid w:val="00AA3C84"/>
    <w:rsid w:val="00AB4DC5"/>
    <w:rsid w:val="00AB6D46"/>
    <w:rsid w:val="00AC3E24"/>
    <w:rsid w:val="00AD1E05"/>
    <w:rsid w:val="00B00C46"/>
    <w:rsid w:val="00B20D35"/>
    <w:rsid w:val="00B43FD6"/>
    <w:rsid w:val="00B507D2"/>
    <w:rsid w:val="00B50965"/>
    <w:rsid w:val="00B63A65"/>
    <w:rsid w:val="00B75527"/>
    <w:rsid w:val="00B8332F"/>
    <w:rsid w:val="00B93D88"/>
    <w:rsid w:val="00BD102A"/>
    <w:rsid w:val="00BE419C"/>
    <w:rsid w:val="00C31A9D"/>
    <w:rsid w:val="00C45B1E"/>
    <w:rsid w:val="00C90380"/>
    <w:rsid w:val="00CB75F2"/>
    <w:rsid w:val="00D04977"/>
    <w:rsid w:val="00D068AA"/>
    <w:rsid w:val="00D231B3"/>
    <w:rsid w:val="00D45D92"/>
    <w:rsid w:val="00D53395"/>
    <w:rsid w:val="00D8736D"/>
    <w:rsid w:val="00DB5DB2"/>
    <w:rsid w:val="00DC09C7"/>
    <w:rsid w:val="00E13703"/>
    <w:rsid w:val="00E33E5E"/>
    <w:rsid w:val="00E416F1"/>
    <w:rsid w:val="00E5510B"/>
    <w:rsid w:val="00E6195C"/>
    <w:rsid w:val="00E65C8F"/>
    <w:rsid w:val="00E75F57"/>
    <w:rsid w:val="00E82AE0"/>
    <w:rsid w:val="00E8348C"/>
    <w:rsid w:val="00EB0742"/>
    <w:rsid w:val="00EC0998"/>
    <w:rsid w:val="00EC47D4"/>
    <w:rsid w:val="00EC589C"/>
    <w:rsid w:val="00EE79D6"/>
    <w:rsid w:val="00F02925"/>
    <w:rsid w:val="00F14CD8"/>
    <w:rsid w:val="00F15D26"/>
    <w:rsid w:val="00F529A3"/>
    <w:rsid w:val="00FB2D1C"/>
    <w:rsid w:val="00FB49CC"/>
    <w:rsid w:val="00FC3351"/>
    <w:rsid w:val="00FE2A37"/>
    <w:rsid w:val="00FE7C31"/>
    <w:rsid w:val="015DB3F4"/>
    <w:rsid w:val="0CEA786C"/>
    <w:rsid w:val="0E161BB7"/>
    <w:rsid w:val="11B4B650"/>
    <w:rsid w:val="19A05A99"/>
    <w:rsid w:val="2DEB92C0"/>
    <w:rsid w:val="3A5C1FB1"/>
    <w:rsid w:val="3EB1D53F"/>
    <w:rsid w:val="43B6323C"/>
    <w:rsid w:val="4601BD2F"/>
    <w:rsid w:val="4604CF8D"/>
    <w:rsid w:val="49E6ABF4"/>
    <w:rsid w:val="50EC7F23"/>
    <w:rsid w:val="5D51DCD4"/>
    <w:rsid w:val="61FBE45A"/>
    <w:rsid w:val="6939CCA6"/>
    <w:rsid w:val="69F48563"/>
    <w:rsid w:val="6C94C136"/>
    <w:rsid w:val="6DEAC877"/>
    <w:rsid w:val="77F4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909D"/>
  <w15:chartTrackingRefBased/>
  <w15:docId w15:val="{D778A3EF-757F-4382-85DD-645FB9D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F7"/>
  </w:style>
  <w:style w:type="paragraph" w:styleId="Heading1">
    <w:name w:val="heading 1"/>
    <w:basedOn w:val="Normal"/>
    <w:next w:val="Normal"/>
    <w:link w:val="Heading1Char"/>
    <w:uiPriority w:val="9"/>
    <w:qFormat/>
    <w:rsid w:val="00E83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F7"/>
  </w:style>
  <w:style w:type="paragraph" w:styleId="Footer">
    <w:name w:val="footer"/>
    <w:basedOn w:val="Normal"/>
    <w:link w:val="FooterChar"/>
    <w:uiPriority w:val="99"/>
    <w:unhideWhenUsed/>
    <w:rsid w:val="00746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F7"/>
  </w:style>
  <w:style w:type="character" w:styleId="Hyperlink">
    <w:name w:val="Hyperlink"/>
    <w:basedOn w:val="DefaultParagraphFont"/>
    <w:uiPriority w:val="99"/>
    <w:unhideWhenUsed/>
    <w:rsid w:val="006721AA"/>
    <w:rPr>
      <w:color w:val="0563C1" w:themeColor="hyperlink"/>
      <w:u w:val="single"/>
    </w:rPr>
  </w:style>
  <w:style w:type="character" w:styleId="FollowedHyperlink">
    <w:name w:val="FollowedHyperlink"/>
    <w:basedOn w:val="DefaultParagraphFont"/>
    <w:uiPriority w:val="99"/>
    <w:semiHidden/>
    <w:unhideWhenUsed/>
    <w:rsid w:val="006721AA"/>
    <w:rPr>
      <w:color w:val="954F72" w:themeColor="followedHyperlink"/>
      <w:u w:val="single"/>
    </w:rPr>
  </w:style>
  <w:style w:type="character" w:styleId="UnresolvedMention">
    <w:name w:val="Unresolved Mention"/>
    <w:basedOn w:val="DefaultParagraphFont"/>
    <w:uiPriority w:val="99"/>
    <w:semiHidden/>
    <w:unhideWhenUsed/>
    <w:rsid w:val="006721AA"/>
    <w:rPr>
      <w:color w:val="605E5C"/>
      <w:shd w:val="clear" w:color="auto" w:fill="E1DFDD"/>
    </w:rPr>
  </w:style>
  <w:style w:type="character" w:styleId="CommentReference">
    <w:name w:val="annotation reference"/>
    <w:basedOn w:val="DefaultParagraphFont"/>
    <w:uiPriority w:val="99"/>
    <w:semiHidden/>
    <w:unhideWhenUsed/>
    <w:rsid w:val="004657E7"/>
    <w:rPr>
      <w:sz w:val="16"/>
      <w:szCs w:val="16"/>
    </w:rPr>
  </w:style>
  <w:style w:type="paragraph" w:styleId="CommentText">
    <w:name w:val="annotation text"/>
    <w:basedOn w:val="Normal"/>
    <w:link w:val="CommentTextChar"/>
    <w:uiPriority w:val="99"/>
    <w:semiHidden/>
    <w:unhideWhenUsed/>
    <w:rsid w:val="004657E7"/>
    <w:pPr>
      <w:spacing w:line="240" w:lineRule="auto"/>
    </w:pPr>
    <w:rPr>
      <w:sz w:val="20"/>
      <w:szCs w:val="20"/>
    </w:rPr>
  </w:style>
  <w:style w:type="character" w:customStyle="1" w:styleId="CommentTextChar">
    <w:name w:val="Comment Text Char"/>
    <w:basedOn w:val="DefaultParagraphFont"/>
    <w:link w:val="CommentText"/>
    <w:uiPriority w:val="99"/>
    <w:semiHidden/>
    <w:rsid w:val="004657E7"/>
    <w:rPr>
      <w:sz w:val="20"/>
      <w:szCs w:val="20"/>
    </w:rPr>
  </w:style>
  <w:style w:type="paragraph" w:styleId="CommentSubject">
    <w:name w:val="annotation subject"/>
    <w:basedOn w:val="CommentText"/>
    <w:next w:val="CommentText"/>
    <w:link w:val="CommentSubjectChar"/>
    <w:uiPriority w:val="99"/>
    <w:semiHidden/>
    <w:unhideWhenUsed/>
    <w:rsid w:val="004657E7"/>
    <w:rPr>
      <w:b/>
      <w:bCs/>
    </w:rPr>
  </w:style>
  <w:style w:type="character" w:customStyle="1" w:styleId="CommentSubjectChar">
    <w:name w:val="Comment Subject Char"/>
    <w:basedOn w:val="CommentTextChar"/>
    <w:link w:val="CommentSubject"/>
    <w:uiPriority w:val="99"/>
    <w:semiHidden/>
    <w:rsid w:val="004657E7"/>
    <w:rPr>
      <w:b/>
      <w:bCs/>
      <w:sz w:val="20"/>
      <w:szCs w:val="20"/>
    </w:rPr>
  </w:style>
  <w:style w:type="paragraph" w:styleId="BalloonText">
    <w:name w:val="Balloon Text"/>
    <w:basedOn w:val="Normal"/>
    <w:link w:val="BalloonTextChar"/>
    <w:uiPriority w:val="99"/>
    <w:semiHidden/>
    <w:unhideWhenUsed/>
    <w:rsid w:val="00465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7E7"/>
    <w:rPr>
      <w:rFonts w:ascii="Segoe UI" w:hAnsi="Segoe UI" w:cs="Segoe UI"/>
      <w:sz w:val="18"/>
      <w:szCs w:val="18"/>
    </w:rPr>
  </w:style>
  <w:style w:type="table" w:styleId="TableGrid">
    <w:name w:val="Table Grid"/>
    <w:basedOn w:val="TableNormal"/>
    <w:uiPriority w:val="39"/>
    <w:rsid w:val="00E8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34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70FF6"/>
    <w:pPr>
      <w:ind w:left="720"/>
      <w:contextualSpacing/>
    </w:pPr>
  </w:style>
  <w:style w:type="paragraph" w:styleId="Revision">
    <w:name w:val="Revision"/>
    <w:hidden/>
    <w:uiPriority w:val="99"/>
    <w:semiHidden/>
    <w:rsid w:val="00A00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489">
      <w:bodyDiv w:val="1"/>
      <w:marLeft w:val="0"/>
      <w:marRight w:val="0"/>
      <w:marTop w:val="0"/>
      <w:marBottom w:val="0"/>
      <w:divBdr>
        <w:top w:val="none" w:sz="0" w:space="0" w:color="auto"/>
        <w:left w:val="none" w:sz="0" w:space="0" w:color="auto"/>
        <w:bottom w:val="none" w:sz="0" w:space="0" w:color="auto"/>
        <w:right w:val="none" w:sz="0" w:space="0" w:color="auto"/>
      </w:divBdr>
      <w:divsChild>
        <w:div w:id="1609653801">
          <w:marLeft w:val="432"/>
          <w:marRight w:val="0"/>
          <w:marTop w:val="200"/>
          <w:marBottom w:val="0"/>
          <w:divBdr>
            <w:top w:val="none" w:sz="0" w:space="0" w:color="auto"/>
            <w:left w:val="none" w:sz="0" w:space="0" w:color="auto"/>
            <w:bottom w:val="none" w:sz="0" w:space="0" w:color="auto"/>
            <w:right w:val="none" w:sz="0" w:space="0" w:color="auto"/>
          </w:divBdr>
        </w:div>
      </w:divsChild>
    </w:div>
    <w:div w:id="181938803">
      <w:bodyDiv w:val="1"/>
      <w:marLeft w:val="0"/>
      <w:marRight w:val="0"/>
      <w:marTop w:val="0"/>
      <w:marBottom w:val="0"/>
      <w:divBdr>
        <w:top w:val="none" w:sz="0" w:space="0" w:color="auto"/>
        <w:left w:val="none" w:sz="0" w:space="0" w:color="auto"/>
        <w:bottom w:val="none" w:sz="0" w:space="0" w:color="auto"/>
        <w:right w:val="none" w:sz="0" w:space="0" w:color="auto"/>
      </w:divBdr>
      <w:divsChild>
        <w:div w:id="1865056252">
          <w:marLeft w:val="432"/>
          <w:marRight w:val="0"/>
          <w:marTop w:val="200"/>
          <w:marBottom w:val="0"/>
          <w:divBdr>
            <w:top w:val="none" w:sz="0" w:space="0" w:color="auto"/>
            <w:left w:val="none" w:sz="0" w:space="0" w:color="auto"/>
            <w:bottom w:val="none" w:sz="0" w:space="0" w:color="auto"/>
            <w:right w:val="none" w:sz="0" w:space="0" w:color="auto"/>
          </w:divBdr>
        </w:div>
      </w:divsChild>
    </w:div>
    <w:div w:id="528572579">
      <w:bodyDiv w:val="1"/>
      <w:marLeft w:val="0"/>
      <w:marRight w:val="0"/>
      <w:marTop w:val="0"/>
      <w:marBottom w:val="0"/>
      <w:divBdr>
        <w:top w:val="none" w:sz="0" w:space="0" w:color="auto"/>
        <w:left w:val="none" w:sz="0" w:space="0" w:color="auto"/>
        <w:bottom w:val="none" w:sz="0" w:space="0" w:color="auto"/>
        <w:right w:val="none" w:sz="0" w:space="0" w:color="auto"/>
      </w:divBdr>
      <w:divsChild>
        <w:div w:id="1526360502">
          <w:marLeft w:val="446"/>
          <w:marRight w:val="0"/>
          <w:marTop w:val="0"/>
          <w:marBottom w:val="0"/>
          <w:divBdr>
            <w:top w:val="none" w:sz="0" w:space="0" w:color="auto"/>
            <w:left w:val="none" w:sz="0" w:space="0" w:color="auto"/>
            <w:bottom w:val="none" w:sz="0" w:space="0" w:color="auto"/>
            <w:right w:val="none" w:sz="0" w:space="0" w:color="auto"/>
          </w:divBdr>
        </w:div>
        <w:div w:id="1410997971">
          <w:marLeft w:val="446"/>
          <w:marRight w:val="0"/>
          <w:marTop w:val="0"/>
          <w:marBottom w:val="0"/>
          <w:divBdr>
            <w:top w:val="none" w:sz="0" w:space="0" w:color="auto"/>
            <w:left w:val="none" w:sz="0" w:space="0" w:color="auto"/>
            <w:bottom w:val="none" w:sz="0" w:space="0" w:color="auto"/>
            <w:right w:val="none" w:sz="0" w:space="0" w:color="auto"/>
          </w:divBdr>
        </w:div>
        <w:div w:id="958754145">
          <w:marLeft w:val="446"/>
          <w:marRight w:val="0"/>
          <w:marTop w:val="0"/>
          <w:marBottom w:val="0"/>
          <w:divBdr>
            <w:top w:val="none" w:sz="0" w:space="0" w:color="auto"/>
            <w:left w:val="none" w:sz="0" w:space="0" w:color="auto"/>
            <w:bottom w:val="none" w:sz="0" w:space="0" w:color="auto"/>
            <w:right w:val="none" w:sz="0" w:space="0" w:color="auto"/>
          </w:divBdr>
        </w:div>
        <w:div w:id="1302806842">
          <w:marLeft w:val="446"/>
          <w:marRight w:val="0"/>
          <w:marTop w:val="0"/>
          <w:marBottom w:val="0"/>
          <w:divBdr>
            <w:top w:val="none" w:sz="0" w:space="0" w:color="auto"/>
            <w:left w:val="none" w:sz="0" w:space="0" w:color="auto"/>
            <w:bottom w:val="none" w:sz="0" w:space="0" w:color="auto"/>
            <w:right w:val="none" w:sz="0" w:space="0" w:color="auto"/>
          </w:divBdr>
        </w:div>
        <w:div w:id="1685858825">
          <w:marLeft w:val="446"/>
          <w:marRight w:val="0"/>
          <w:marTop w:val="0"/>
          <w:marBottom w:val="0"/>
          <w:divBdr>
            <w:top w:val="none" w:sz="0" w:space="0" w:color="auto"/>
            <w:left w:val="none" w:sz="0" w:space="0" w:color="auto"/>
            <w:bottom w:val="none" w:sz="0" w:space="0" w:color="auto"/>
            <w:right w:val="none" w:sz="0" w:space="0" w:color="auto"/>
          </w:divBdr>
        </w:div>
        <w:div w:id="336928663">
          <w:marLeft w:val="446"/>
          <w:marRight w:val="0"/>
          <w:marTop w:val="0"/>
          <w:marBottom w:val="0"/>
          <w:divBdr>
            <w:top w:val="none" w:sz="0" w:space="0" w:color="auto"/>
            <w:left w:val="none" w:sz="0" w:space="0" w:color="auto"/>
            <w:bottom w:val="none" w:sz="0" w:space="0" w:color="auto"/>
            <w:right w:val="none" w:sz="0" w:space="0" w:color="auto"/>
          </w:divBdr>
        </w:div>
        <w:div w:id="1801606951">
          <w:marLeft w:val="446"/>
          <w:marRight w:val="0"/>
          <w:marTop w:val="0"/>
          <w:marBottom w:val="0"/>
          <w:divBdr>
            <w:top w:val="none" w:sz="0" w:space="0" w:color="auto"/>
            <w:left w:val="none" w:sz="0" w:space="0" w:color="auto"/>
            <w:bottom w:val="none" w:sz="0" w:space="0" w:color="auto"/>
            <w:right w:val="none" w:sz="0" w:space="0" w:color="auto"/>
          </w:divBdr>
        </w:div>
      </w:divsChild>
    </w:div>
    <w:div w:id="618680983">
      <w:bodyDiv w:val="1"/>
      <w:marLeft w:val="0"/>
      <w:marRight w:val="0"/>
      <w:marTop w:val="0"/>
      <w:marBottom w:val="0"/>
      <w:divBdr>
        <w:top w:val="none" w:sz="0" w:space="0" w:color="auto"/>
        <w:left w:val="none" w:sz="0" w:space="0" w:color="auto"/>
        <w:bottom w:val="none" w:sz="0" w:space="0" w:color="auto"/>
        <w:right w:val="none" w:sz="0" w:space="0" w:color="auto"/>
      </w:divBdr>
      <w:divsChild>
        <w:div w:id="1505969377">
          <w:marLeft w:val="806"/>
          <w:marRight w:val="0"/>
          <w:marTop w:val="0"/>
          <w:marBottom w:val="0"/>
          <w:divBdr>
            <w:top w:val="none" w:sz="0" w:space="0" w:color="auto"/>
            <w:left w:val="none" w:sz="0" w:space="0" w:color="auto"/>
            <w:bottom w:val="none" w:sz="0" w:space="0" w:color="auto"/>
            <w:right w:val="none" w:sz="0" w:space="0" w:color="auto"/>
          </w:divBdr>
        </w:div>
        <w:div w:id="957219437">
          <w:marLeft w:val="806"/>
          <w:marRight w:val="0"/>
          <w:marTop w:val="0"/>
          <w:marBottom w:val="0"/>
          <w:divBdr>
            <w:top w:val="none" w:sz="0" w:space="0" w:color="auto"/>
            <w:left w:val="none" w:sz="0" w:space="0" w:color="auto"/>
            <w:bottom w:val="none" w:sz="0" w:space="0" w:color="auto"/>
            <w:right w:val="none" w:sz="0" w:space="0" w:color="auto"/>
          </w:divBdr>
        </w:div>
        <w:div w:id="315228667">
          <w:marLeft w:val="806"/>
          <w:marRight w:val="0"/>
          <w:marTop w:val="0"/>
          <w:marBottom w:val="0"/>
          <w:divBdr>
            <w:top w:val="none" w:sz="0" w:space="0" w:color="auto"/>
            <w:left w:val="none" w:sz="0" w:space="0" w:color="auto"/>
            <w:bottom w:val="none" w:sz="0" w:space="0" w:color="auto"/>
            <w:right w:val="none" w:sz="0" w:space="0" w:color="auto"/>
          </w:divBdr>
        </w:div>
        <w:div w:id="1856186755">
          <w:marLeft w:val="806"/>
          <w:marRight w:val="0"/>
          <w:marTop w:val="0"/>
          <w:marBottom w:val="0"/>
          <w:divBdr>
            <w:top w:val="none" w:sz="0" w:space="0" w:color="auto"/>
            <w:left w:val="none" w:sz="0" w:space="0" w:color="auto"/>
            <w:bottom w:val="none" w:sz="0" w:space="0" w:color="auto"/>
            <w:right w:val="none" w:sz="0" w:space="0" w:color="auto"/>
          </w:divBdr>
        </w:div>
      </w:divsChild>
    </w:div>
    <w:div w:id="964001315">
      <w:bodyDiv w:val="1"/>
      <w:marLeft w:val="0"/>
      <w:marRight w:val="0"/>
      <w:marTop w:val="0"/>
      <w:marBottom w:val="0"/>
      <w:divBdr>
        <w:top w:val="none" w:sz="0" w:space="0" w:color="auto"/>
        <w:left w:val="none" w:sz="0" w:space="0" w:color="auto"/>
        <w:bottom w:val="none" w:sz="0" w:space="0" w:color="auto"/>
        <w:right w:val="none" w:sz="0" w:space="0" w:color="auto"/>
      </w:divBdr>
    </w:div>
    <w:div w:id="1193958037">
      <w:bodyDiv w:val="1"/>
      <w:marLeft w:val="0"/>
      <w:marRight w:val="0"/>
      <w:marTop w:val="0"/>
      <w:marBottom w:val="0"/>
      <w:divBdr>
        <w:top w:val="none" w:sz="0" w:space="0" w:color="auto"/>
        <w:left w:val="none" w:sz="0" w:space="0" w:color="auto"/>
        <w:bottom w:val="none" w:sz="0" w:space="0" w:color="auto"/>
        <w:right w:val="none" w:sz="0" w:space="0" w:color="auto"/>
      </w:divBdr>
      <w:divsChild>
        <w:div w:id="464395533">
          <w:marLeft w:val="274"/>
          <w:marRight w:val="0"/>
          <w:marTop w:val="0"/>
          <w:marBottom w:val="240"/>
          <w:divBdr>
            <w:top w:val="none" w:sz="0" w:space="0" w:color="auto"/>
            <w:left w:val="none" w:sz="0" w:space="0" w:color="auto"/>
            <w:bottom w:val="none" w:sz="0" w:space="0" w:color="auto"/>
            <w:right w:val="none" w:sz="0" w:space="0" w:color="auto"/>
          </w:divBdr>
        </w:div>
        <w:div w:id="1272937398">
          <w:marLeft w:val="274"/>
          <w:marRight w:val="0"/>
          <w:marTop w:val="0"/>
          <w:marBottom w:val="240"/>
          <w:divBdr>
            <w:top w:val="none" w:sz="0" w:space="0" w:color="auto"/>
            <w:left w:val="none" w:sz="0" w:space="0" w:color="auto"/>
            <w:bottom w:val="none" w:sz="0" w:space="0" w:color="auto"/>
            <w:right w:val="none" w:sz="0" w:space="0" w:color="auto"/>
          </w:divBdr>
        </w:div>
        <w:div w:id="843784228">
          <w:marLeft w:val="274"/>
          <w:marRight w:val="0"/>
          <w:marTop w:val="0"/>
          <w:marBottom w:val="240"/>
          <w:divBdr>
            <w:top w:val="none" w:sz="0" w:space="0" w:color="auto"/>
            <w:left w:val="none" w:sz="0" w:space="0" w:color="auto"/>
            <w:bottom w:val="none" w:sz="0" w:space="0" w:color="auto"/>
            <w:right w:val="none" w:sz="0" w:space="0" w:color="auto"/>
          </w:divBdr>
        </w:div>
        <w:div w:id="1244414413">
          <w:marLeft w:val="274"/>
          <w:marRight w:val="0"/>
          <w:marTop w:val="0"/>
          <w:marBottom w:val="240"/>
          <w:divBdr>
            <w:top w:val="none" w:sz="0" w:space="0" w:color="auto"/>
            <w:left w:val="none" w:sz="0" w:space="0" w:color="auto"/>
            <w:bottom w:val="none" w:sz="0" w:space="0" w:color="auto"/>
            <w:right w:val="none" w:sz="0" w:space="0" w:color="auto"/>
          </w:divBdr>
        </w:div>
        <w:div w:id="1399130736">
          <w:marLeft w:val="274"/>
          <w:marRight w:val="0"/>
          <w:marTop w:val="0"/>
          <w:marBottom w:val="240"/>
          <w:divBdr>
            <w:top w:val="none" w:sz="0" w:space="0" w:color="auto"/>
            <w:left w:val="none" w:sz="0" w:space="0" w:color="auto"/>
            <w:bottom w:val="none" w:sz="0" w:space="0" w:color="auto"/>
            <w:right w:val="none" w:sz="0" w:space="0" w:color="auto"/>
          </w:divBdr>
        </w:div>
        <w:div w:id="2033216041">
          <w:marLeft w:val="1714"/>
          <w:marRight w:val="0"/>
          <w:marTop w:val="0"/>
          <w:marBottom w:val="0"/>
          <w:divBdr>
            <w:top w:val="none" w:sz="0" w:space="0" w:color="auto"/>
            <w:left w:val="none" w:sz="0" w:space="0" w:color="auto"/>
            <w:bottom w:val="none" w:sz="0" w:space="0" w:color="auto"/>
            <w:right w:val="none" w:sz="0" w:space="0" w:color="auto"/>
          </w:divBdr>
        </w:div>
        <w:div w:id="725301964">
          <w:marLeft w:val="1714"/>
          <w:marRight w:val="0"/>
          <w:marTop w:val="0"/>
          <w:marBottom w:val="0"/>
          <w:divBdr>
            <w:top w:val="none" w:sz="0" w:space="0" w:color="auto"/>
            <w:left w:val="none" w:sz="0" w:space="0" w:color="auto"/>
            <w:bottom w:val="none" w:sz="0" w:space="0" w:color="auto"/>
            <w:right w:val="none" w:sz="0" w:space="0" w:color="auto"/>
          </w:divBdr>
        </w:div>
        <w:div w:id="161506947">
          <w:marLeft w:val="1714"/>
          <w:marRight w:val="0"/>
          <w:marTop w:val="0"/>
          <w:marBottom w:val="240"/>
          <w:divBdr>
            <w:top w:val="none" w:sz="0" w:space="0" w:color="auto"/>
            <w:left w:val="none" w:sz="0" w:space="0" w:color="auto"/>
            <w:bottom w:val="none" w:sz="0" w:space="0" w:color="auto"/>
            <w:right w:val="none" w:sz="0" w:space="0" w:color="auto"/>
          </w:divBdr>
        </w:div>
      </w:divsChild>
    </w:div>
    <w:div w:id="1301687314">
      <w:bodyDiv w:val="1"/>
      <w:marLeft w:val="0"/>
      <w:marRight w:val="0"/>
      <w:marTop w:val="0"/>
      <w:marBottom w:val="0"/>
      <w:divBdr>
        <w:top w:val="none" w:sz="0" w:space="0" w:color="auto"/>
        <w:left w:val="none" w:sz="0" w:space="0" w:color="auto"/>
        <w:bottom w:val="none" w:sz="0" w:space="0" w:color="auto"/>
        <w:right w:val="none" w:sz="0" w:space="0" w:color="auto"/>
      </w:divBdr>
      <w:divsChild>
        <w:div w:id="1520970847">
          <w:marLeft w:val="446"/>
          <w:marRight w:val="0"/>
          <w:marTop w:val="0"/>
          <w:marBottom w:val="0"/>
          <w:divBdr>
            <w:top w:val="none" w:sz="0" w:space="0" w:color="auto"/>
            <w:left w:val="none" w:sz="0" w:space="0" w:color="auto"/>
            <w:bottom w:val="none" w:sz="0" w:space="0" w:color="auto"/>
            <w:right w:val="none" w:sz="0" w:space="0" w:color="auto"/>
          </w:divBdr>
        </w:div>
        <w:div w:id="1913932062">
          <w:marLeft w:val="446"/>
          <w:marRight w:val="0"/>
          <w:marTop w:val="0"/>
          <w:marBottom w:val="0"/>
          <w:divBdr>
            <w:top w:val="none" w:sz="0" w:space="0" w:color="auto"/>
            <w:left w:val="none" w:sz="0" w:space="0" w:color="auto"/>
            <w:bottom w:val="none" w:sz="0" w:space="0" w:color="auto"/>
            <w:right w:val="none" w:sz="0" w:space="0" w:color="auto"/>
          </w:divBdr>
        </w:div>
        <w:div w:id="281499089">
          <w:marLeft w:val="446"/>
          <w:marRight w:val="0"/>
          <w:marTop w:val="0"/>
          <w:marBottom w:val="0"/>
          <w:divBdr>
            <w:top w:val="none" w:sz="0" w:space="0" w:color="auto"/>
            <w:left w:val="none" w:sz="0" w:space="0" w:color="auto"/>
            <w:bottom w:val="none" w:sz="0" w:space="0" w:color="auto"/>
            <w:right w:val="none" w:sz="0" w:space="0" w:color="auto"/>
          </w:divBdr>
        </w:div>
      </w:divsChild>
    </w:div>
    <w:div w:id="1310130186">
      <w:bodyDiv w:val="1"/>
      <w:marLeft w:val="0"/>
      <w:marRight w:val="0"/>
      <w:marTop w:val="0"/>
      <w:marBottom w:val="0"/>
      <w:divBdr>
        <w:top w:val="none" w:sz="0" w:space="0" w:color="auto"/>
        <w:left w:val="none" w:sz="0" w:space="0" w:color="auto"/>
        <w:bottom w:val="none" w:sz="0" w:space="0" w:color="auto"/>
        <w:right w:val="none" w:sz="0" w:space="0" w:color="auto"/>
      </w:divBdr>
    </w:div>
    <w:div w:id="1653869492">
      <w:bodyDiv w:val="1"/>
      <w:marLeft w:val="0"/>
      <w:marRight w:val="0"/>
      <w:marTop w:val="0"/>
      <w:marBottom w:val="0"/>
      <w:divBdr>
        <w:top w:val="none" w:sz="0" w:space="0" w:color="auto"/>
        <w:left w:val="none" w:sz="0" w:space="0" w:color="auto"/>
        <w:bottom w:val="none" w:sz="0" w:space="0" w:color="auto"/>
        <w:right w:val="none" w:sz="0" w:space="0" w:color="auto"/>
      </w:divBdr>
      <w:divsChild>
        <w:div w:id="1810174126">
          <w:marLeft w:val="806"/>
          <w:marRight w:val="0"/>
          <w:marTop w:val="0"/>
          <w:marBottom w:val="0"/>
          <w:divBdr>
            <w:top w:val="none" w:sz="0" w:space="0" w:color="auto"/>
            <w:left w:val="none" w:sz="0" w:space="0" w:color="auto"/>
            <w:bottom w:val="none" w:sz="0" w:space="0" w:color="auto"/>
            <w:right w:val="none" w:sz="0" w:space="0" w:color="auto"/>
          </w:divBdr>
        </w:div>
      </w:divsChild>
    </w:div>
    <w:div w:id="1711033227">
      <w:bodyDiv w:val="1"/>
      <w:marLeft w:val="0"/>
      <w:marRight w:val="0"/>
      <w:marTop w:val="0"/>
      <w:marBottom w:val="0"/>
      <w:divBdr>
        <w:top w:val="none" w:sz="0" w:space="0" w:color="auto"/>
        <w:left w:val="none" w:sz="0" w:space="0" w:color="auto"/>
        <w:bottom w:val="none" w:sz="0" w:space="0" w:color="auto"/>
        <w:right w:val="none" w:sz="0" w:space="0" w:color="auto"/>
      </w:divBdr>
      <w:divsChild>
        <w:div w:id="1413356175">
          <w:marLeft w:val="446"/>
          <w:marRight w:val="0"/>
          <w:marTop w:val="0"/>
          <w:marBottom w:val="0"/>
          <w:divBdr>
            <w:top w:val="none" w:sz="0" w:space="0" w:color="auto"/>
            <w:left w:val="none" w:sz="0" w:space="0" w:color="auto"/>
            <w:bottom w:val="none" w:sz="0" w:space="0" w:color="auto"/>
            <w:right w:val="none" w:sz="0" w:space="0" w:color="auto"/>
          </w:divBdr>
        </w:div>
        <w:div w:id="535430321">
          <w:marLeft w:val="446"/>
          <w:marRight w:val="0"/>
          <w:marTop w:val="0"/>
          <w:marBottom w:val="0"/>
          <w:divBdr>
            <w:top w:val="none" w:sz="0" w:space="0" w:color="auto"/>
            <w:left w:val="none" w:sz="0" w:space="0" w:color="auto"/>
            <w:bottom w:val="none" w:sz="0" w:space="0" w:color="auto"/>
            <w:right w:val="none" w:sz="0" w:space="0" w:color="auto"/>
          </w:divBdr>
        </w:div>
        <w:div w:id="1701936149">
          <w:marLeft w:val="446"/>
          <w:marRight w:val="0"/>
          <w:marTop w:val="0"/>
          <w:marBottom w:val="0"/>
          <w:divBdr>
            <w:top w:val="none" w:sz="0" w:space="0" w:color="auto"/>
            <w:left w:val="none" w:sz="0" w:space="0" w:color="auto"/>
            <w:bottom w:val="none" w:sz="0" w:space="0" w:color="auto"/>
            <w:right w:val="none" w:sz="0" w:space="0" w:color="auto"/>
          </w:divBdr>
        </w:div>
        <w:div w:id="1856453133">
          <w:marLeft w:val="446"/>
          <w:marRight w:val="0"/>
          <w:marTop w:val="0"/>
          <w:marBottom w:val="0"/>
          <w:divBdr>
            <w:top w:val="none" w:sz="0" w:space="0" w:color="auto"/>
            <w:left w:val="none" w:sz="0" w:space="0" w:color="auto"/>
            <w:bottom w:val="none" w:sz="0" w:space="0" w:color="auto"/>
            <w:right w:val="none" w:sz="0" w:space="0" w:color="auto"/>
          </w:divBdr>
        </w:div>
        <w:div w:id="1018195669">
          <w:marLeft w:val="446"/>
          <w:marRight w:val="0"/>
          <w:marTop w:val="0"/>
          <w:marBottom w:val="0"/>
          <w:divBdr>
            <w:top w:val="none" w:sz="0" w:space="0" w:color="auto"/>
            <w:left w:val="none" w:sz="0" w:space="0" w:color="auto"/>
            <w:bottom w:val="none" w:sz="0" w:space="0" w:color="auto"/>
            <w:right w:val="none" w:sz="0" w:space="0" w:color="auto"/>
          </w:divBdr>
        </w:div>
        <w:div w:id="1712151589">
          <w:marLeft w:val="446"/>
          <w:marRight w:val="0"/>
          <w:marTop w:val="0"/>
          <w:marBottom w:val="0"/>
          <w:divBdr>
            <w:top w:val="none" w:sz="0" w:space="0" w:color="auto"/>
            <w:left w:val="none" w:sz="0" w:space="0" w:color="auto"/>
            <w:bottom w:val="none" w:sz="0" w:space="0" w:color="auto"/>
            <w:right w:val="none" w:sz="0" w:space="0" w:color="auto"/>
          </w:divBdr>
        </w:div>
        <w:div w:id="36052336">
          <w:marLeft w:val="446"/>
          <w:marRight w:val="0"/>
          <w:marTop w:val="0"/>
          <w:marBottom w:val="0"/>
          <w:divBdr>
            <w:top w:val="none" w:sz="0" w:space="0" w:color="auto"/>
            <w:left w:val="none" w:sz="0" w:space="0" w:color="auto"/>
            <w:bottom w:val="none" w:sz="0" w:space="0" w:color="auto"/>
            <w:right w:val="none" w:sz="0" w:space="0" w:color="auto"/>
          </w:divBdr>
        </w:div>
      </w:divsChild>
    </w:div>
    <w:div w:id="19646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AC8174B17490C88824D65AFBB534B"/>
        <w:category>
          <w:name w:val="General"/>
          <w:gallery w:val="placeholder"/>
        </w:category>
        <w:types>
          <w:type w:val="bbPlcHdr"/>
        </w:types>
        <w:behaviors>
          <w:behavior w:val="content"/>
        </w:behaviors>
        <w:guid w:val="{97830531-F802-4EC3-9CC0-D9930D9BF3C3}"/>
      </w:docPartPr>
      <w:docPartBody>
        <w:p w:rsidR="00867A59" w:rsidRDefault="00ED04D3" w:rsidP="00ED04D3">
          <w:pPr>
            <w:pStyle w:val="599AC8174B17490C88824D65AFBB534B"/>
          </w:pPr>
          <w:r w:rsidRPr="00C32F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D3"/>
    <w:rsid w:val="002A4B59"/>
    <w:rsid w:val="00632E8B"/>
    <w:rsid w:val="006E2918"/>
    <w:rsid w:val="007A37D6"/>
    <w:rsid w:val="00867A59"/>
    <w:rsid w:val="00ED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4D3"/>
    <w:rPr>
      <w:color w:val="808080"/>
    </w:rPr>
  </w:style>
  <w:style w:type="paragraph" w:customStyle="1" w:styleId="599AC8174B17490C88824D65AFBB534B">
    <w:name w:val="599AC8174B17490C88824D65AFBB534B"/>
    <w:rsid w:val="00ED0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BF7272-0E57-4C03-8D5E-58B9C7FE5EA6}"/>
</file>

<file path=customXml/itemProps2.xml><?xml version="1.0" encoding="utf-8"?>
<ds:datastoreItem xmlns:ds="http://schemas.openxmlformats.org/officeDocument/2006/customXml" ds:itemID="{9AECFD56-0E48-4D36-9125-ED649ACE52CC}">
  <ds:schemaRefs>
    <ds:schemaRef ds:uri="http://schemas.microsoft.com/sharepoint/v3/contenttype/forms"/>
  </ds:schemaRefs>
</ds:datastoreItem>
</file>

<file path=customXml/itemProps3.xml><?xml version="1.0" encoding="utf-8"?>
<ds:datastoreItem xmlns:ds="http://schemas.openxmlformats.org/officeDocument/2006/customXml" ds:itemID="{AF0A6262-C714-4567-A68D-EF6A68FD7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2004</Words>
  <Characters>11423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Deanne Wiley</cp:lastModifiedBy>
  <cp:revision>2</cp:revision>
  <dcterms:created xsi:type="dcterms:W3CDTF">2023-11-08T22:50:00Z</dcterms:created>
  <dcterms:modified xsi:type="dcterms:W3CDTF">2023-11-08T22:50:00Z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