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8ACE" w14:textId="1C16045F" w:rsidR="00AB4DC5" w:rsidRDefault="00814B47" w:rsidP="00AB4DC5">
      <w:pPr>
        <w:pStyle w:val="Heading1"/>
        <w:contextualSpacing/>
      </w:pPr>
      <w:r>
        <w:t xml:space="preserve">Serum calcium level cutoff </w:t>
      </w:r>
      <w:r w:rsidR="005C0A38">
        <w:t>of 10.3mg/dL (normal level &gt; 10.5mg/dL)</w:t>
      </w:r>
      <w:r>
        <w:t xml:space="preserve"> optimally identifies </w:t>
      </w:r>
      <w:r w:rsidR="009264B2">
        <w:t xml:space="preserve">recurrent calcium kidney stone patients </w:t>
      </w:r>
      <w:r>
        <w:t xml:space="preserve">at risk of </w:t>
      </w:r>
      <w:r w:rsidR="009264B2">
        <w:t xml:space="preserve"> </w:t>
      </w:r>
      <w:proofErr w:type="spellStart"/>
      <w:r w:rsidR="009264B2">
        <w:t>normocalcemic</w:t>
      </w:r>
      <w:proofErr w:type="spellEnd"/>
      <w:r w:rsidR="009264B2">
        <w:t xml:space="preserve"> hyperparathyroidism.</w:t>
      </w:r>
    </w:p>
    <w:p w14:paraId="7C373D83" w14:textId="59AE0171" w:rsidR="00AB4DC5" w:rsidRPr="003C4176" w:rsidRDefault="00125BA5" w:rsidP="00AB4DC5">
      <w:pPr>
        <w:contextualSpacing/>
      </w:pPr>
      <w:r>
        <w:t>Mark Gasparini</w:t>
      </w:r>
      <w:r w:rsidR="004B011A">
        <w:t xml:space="preserve">, </w:t>
      </w:r>
      <w:r w:rsidR="00065EBB" w:rsidRPr="003C4176">
        <w:t>M</w:t>
      </w:r>
      <w:r w:rsidR="00645C6A">
        <w:t>.</w:t>
      </w:r>
      <w:r w:rsidR="00065EBB" w:rsidRPr="003C4176">
        <w:t>D</w:t>
      </w:r>
      <w:r w:rsidR="00645C6A">
        <w:t>.;</w:t>
      </w:r>
      <w:r w:rsidR="00A4432B" w:rsidRPr="003C4176">
        <w:t xml:space="preserve"> </w:t>
      </w:r>
      <w:r>
        <w:t xml:space="preserve">Stephen </w:t>
      </w:r>
      <w:proofErr w:type="spellStart"/>
      <w:r>
        <w:t>Vandeneeden</w:t>
      </w:r>
      <w:proofErr w:type="spellEnd"/>
      <w:r w:rsidR="00065EBB" w:rsidRPr="003C4176">
        <w:t>,</w:t>
      </w:r>
      <w:r w:rsidR="002340B7" w:rsidRPr="003C4176">
        <w:t xml:space="preserve"> </w:t>
      </w:r>
      <w:r>
        <w:t>PhD.</w:t>
      </w:r>
      <w:r w:rsidR="00645C6A">
        <w:t>; Jun Shan; Marvin Langston.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638"/>
        <w:gridCol w:w="7707"/>
      </w:tblGrid>
      <w:tr w:rsidR="00E8348C" w:rsidRPr="008A7C90" w14:paraId="5E8C4A25" w14:textId="77777777" w:rsidTr="23FD5CC0">
        <w:trPr>
          <w:trHeight w:val="816"/>
        </w:trPr>
        <w:tc>
          <w:tcPr>
            <w:tcW w:w="2638" w:type="dxa"/>
          </w:tcPr>
          <w:p w14:paraId="5B70F066" w14:textId="77777777" w:rsidR="00E8348C" w:rsidRPr="008A7C90" w:rsidRDefault="00E8348C" w:rsidP="005D5EA7">
            <w:pPr>
              <w:spacing w:after="160" w:line="259" w:lineRule="auto"/>
              <w:contextualSpacing/>
            </w:pPr>
            <w:bookmarkStart w:id="0" w:name="_Hlk54105970"/>
            <w:r w:rsidRPr="008A7C90">
              <w:t>Challenge</w:t>
            </w:r>
          </w:p>
        </w:tc>
        <w:tc>
          <w:tcPr>
            <w:tcW w:w="7707" w:type="dxa"/>
          </w:tcPr>
          <w:p w14:paraId="16C35478" w14:textId="1BBA5ECE" w:rsidR="00E8348C" w:rsidRPr="00426C21" w:rsidRDefault="00323C66" w:rsidP="00E8348C">
            <w:pPr>
              <w:contextualSpacing/>
            </w:pPr>
            <w:r>
              <w:t xml:space="preserve">Our </w:t>
            </w:r>
            <w:r w:rsidR="00814B47">
              <w:t>c</w:t>
            </w:r>
            <w:r>
              <w:t xml:space="preserve">linical guidelines recommend workup for Primary Hyperparathyroidism in kidney stone patients </w:t>
            </w:r>
            <w:r w:rsidR="00814B47">
              <w:t xml:space="preserve">with high or high normal </w:t>
            </w:r>
            <w:r>
              <w:t>serum calcium</w:t>
            </w:r>
            <w:r w:rsidR="00645C6A">
              <w:t xml:space="preserve"> (</w:t>
            </w:r>
            <w:proofErr w:type="spellStart"/>
            <w:r w:rsidR="00645C6A">
              <w:t>sCa</w:t>
            </w:r>
            <w:proofErr w:type="spellEnd"/>
            <w:r w:rsidR="00645C6A">
              <w:t>)</w:t>
            </w:r>
            <w:r>
              <w:t>. The level that constitutes a high normal serum calcium is not defined</w:t>
            </w:r>
            <w:r w:rsidR="00814B47">
              <w:t>.</w:t>
            </w:r>
            <w:r w:rsidR="00917093">
              <w:t xml:space="preserve"> </w:t>
            </w:r>
          </w:p>
        </w:tc>
      </w:tr>
      <w:tr w:rsidR="00E8348C" w:rsidRPr="008A7C90" w14:paraId="1E76C968" w14:textId="77777777" w:rsidTr="23FD5CC0">
        <w:trPr>
          <w:trHeight w:val="1091"/>
        </w:trPr>
        <w:tc>
          <w:tcPr>
            <w:tcW w:w="2638" w:type="dxa"/>
          </w:tcPr>
          <w:p w14:paraId="47056361" w14:textId="7777777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Existing Evidence</w:t>
            </w:r>
          </w:p>
        </w:tc>
        <w:tc>
          <w:tcPr>
            <w:tcW w:w="7707" w:type="dxa"/>
          </w:tcPr>
          <w:p w14:paraId="34C25655" w14:textId="57D3BC95" w:rsidR="00E8348C" w:rsidRPr="008A7C90" w:rsidRDefault="00323C66" w:rsidP="00E8348C">
            <w:pPr>
              <w:contextualSpacing/>
            </w:pPr>
            <w:r>
              <w:t>There is little to n</w:t>
            </w:r>
            <w:r w:rsidR="00645C6A">
              <w:t>o</w:t>
            </w:r>
            <w:r>
              <w:t xml:space="preserve"> published evidence concerning th</w:t>
            </w:r>
            <w:r w:rsidR="001B5C94">
              <w:t>e</w:t>
            </w:r>
            <w:r>
              <w:t xml:space="preserve"> risk </w:t>
            </w:r>
            <w:r w:rsidR="00D3466C">
              <w:t xml:space="preserve">of </w:t>
            </w:r>
            <w:proofErr w:type="spellStart"/>
            <w:r w:rsidR="00D3466C">
              <w:t>normocalcemic</w:t>
            </w:r>
            <w:proofErr w:type="spellEnd"/>
            <w:r w:rsidR="00D3466C">
              <w:t xml:space="preserve"> hyperparathyroidism</w:t>
            </w:r>
            <w:r w:rsidR="00645C6A">
              <w:t xml:space="preserve"> (NCHP)</w:t>
            </w:r>
            <w:r w:rsidR="00D3466C">
              <w:t xml:space="preserve"> </w:t>
            </w:r>
            <w:r>
              <w:t>in kidney stone patients</w:t>
            </w:r>
            <w:r w:rsidR="00814B47">
              <w:t xml:space="preserve"> and current recommendation is based on clinical principle alone.</w:t>
            </w:r>
            <w:r>
              <w:t xml:space="preserve"> What little data exists concerns primary </w:t>
            </w:r>
            <w:proofErr w:type="spellStart"/>
            <w:r>
              <w:t>hyperparathyroid</w:t>
            </w:r>
            <w:proofErr w:type="spellEnd"/>
            <w:r>
              <w:t xml:space="preserve"> patients who underwent parathyroidectomy, most of which presented for reasons other than stone disease.</w:t>
            </w:r>
          </w:p>
        </w:tc>
      </w:tr>
      <w:tr w:rsidR="00E8348C" w:rsidRPr="008A7C90" w14:paraId="4653D493" w14:textId="77777777" w:rsidTr="23FD5CC0">
        <w:trPr>
          <w:trHeight w:val="262"/>
        </w:trPr>
        <w:tc>
          <w:tcPr>
            <w:tcW w:w="2638" w:type="dxa"/>
          </w:tcPr>
          <w:p w14:paraId="4E195C0B" w14:textId="7777777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Target Population</w:t>
            </w:r>
          </w:p>
        </w:tc>
        <w:tc>
          <w:tcPr>
            <w:tcW w:w="7707" w:type="dxa"/>
          </w:tcPr>
          <w:p w14:paraId="3DECF3DA" w14:textId="146BB770" w:rsidR="00E8348C" w:rsidRPr="008A7C90" w:rsidRDefault="00645C6A" w:rsidP="004B011A">
            <w:pPr>
              <w:contextualSpacing/>
            </w:pPr>
            <w:r>
              <w:t xml:space="preserve">Recurrent </w:t>
            </w:r>
            <w:proofErr w:type="spellStart"/>
            <w:r>
              <w:t>CaOx</w:t>
            </w:r>
            <w:proofErr w:type="spellEnd"/>
            <w:r>
              <w:t xml:space="preserve"> and CaPO4</w:t>
            </w:r>
            <w:r w:rsidR="00323C66">
              <w:t xml:space="preserve"> stone formers in the </w:t>
            </w:r>
            <w:r>
              <w:t xml:space="preserve">Northern California </w:t>
            </w:r>
            <w:r w:rsidR="00323C66">
              <w:t>K</w:t>
            </w:r>
            <w:r>
              <w:t>aiser Permanente Kidney Stone Prevention program (KSP)</w:t>
            </w:r>
            <w:r w:rsidR="00323C66">
              <w:t xml:space="preserve"> data base.</w:t>
            </w:r>
          </w:p>
        </w:tc>
      </w:tr>
      <w:tr w:rsidR="00E8348C" w:rsidRPr="008A7C90" w14:paraId="3C9DF6E4" w14:textId="77777777" w:rsidTr="23FD5CC0">
        <w:trPr>
          <w:trHeight w:val="431"/>
        </w:trPr>
        <w:tc>
          <w:tcPr>
            <w:tcW w:w="2638" w:type="dxa"/>
          </w:tcPr>
          <w:p w14:paraId="190EF833" w14:textId="7777777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Intervention or Exposure</w:t>
            </w:r>
          </w:p>
        </w:tc>
        <w:tc>
          <w:tcPr>
            <w:tcW w:w="7707" w:type="dxa"/>
          </w:tcPr>
          <w:p w14:paraId="162861C4" w14:textId="77777777" w:rsidR="00E8348C" w:rsidRDefault="00323C66" w:rsidP="004B011A">
            <w:pPr>
              <w:contextualSpacing/>
            </w:pPr>
            <w:bookmarkStart w:id="1" w:name="_Hlk71823995"/>
            <w:r>
              <w:t xml:space="preserve">Retrospective review of </w:t>
            </w:r>
            <w:r w:rsidR="00F82233">
              <w:t xml:space="preserve">3335 </w:t>
            </w:r>
            <w:r>
              <w:t xml:space="preserve">prospectively </w:t>
            </w:r>
            <w:r w:rsidR="00F82233">
              <w:t>enrolled high risk kidney stone patients</w:t>
            </w:r>
            <w:r>
              <w:t>.</w:t>
            </w:r>
          </w:p>
          <w:p w14:paraId="4A91E8BE" w14:textId="33CDECDA" w:rsidR="00F82233" w:rsidRDefault="00F82233" w:rsidP="004B011A">
            <w:pPr>
              <w:contextualSpacing/>
            </w:pPr>
            <w:r>
              <w:t>Analysis of 3001 calcium containing stone formers</w:t>
            </w:r>
            <w:r w:rsidR="003B6D7E">
              <w:t xml:space="preserve"> after exclusion of urate, </w:t>
            </w:r>
            <w:r w:rsidR="007E6B98">
              <w:t>struvite,</w:t>
            </w:r>
            <w:r w:rsidR="003B6D7E">
              <w:t xml:space="preserve"> and cysteine stone formers</w:t>
            </w:r>
            <w:r w:rsidR="007E6B98">
              <w:t>.</w:t>
            </w:r>
          </w:p>
          <w:p w14:paraId="6E548C79" w14:textId="6E505180" w:rsidR="009813C1" w:rsidRPr="008A7C90" w:rsidRDefault="009813C1" w:rsidP="004B011A">
            <w:pPr>
              <w:contextualSpacing/>
            </w:pPr>
            <w:r>
              <w:t xml:space="preserve">Sub analysis of 275 patients with serum </w:t>
            </w:r>
            <w:proofErr w:type="spellStart"/>
            <w:r>
              <w:t>sCa</w:t>
            </w:r>
            <w:proofErr w:type="spellEnd"/>
            <w:r>
              <w:t xml:space="preserve"> 10.0</w:t>
            </w:r>
            <w:r w:rsidR="00645C6A">
              <w:t xml:space="preserve"> mg/dL</w:t>
            </w:r>
            <w:r>
              <w:t xml:space="preserve"> or greater</w:t>
            </w:r>
            <w:r w:rsidR="00645C6A">
              <w:t xml:space="preserve">; </w:t>
            </w:r>
            <w:r>
              <w:t xml:space="preserve">241 </w:t>
            </w:r>
            <w:r w:rsidR="00645C6A">
              <w:t xml:space="preserve">of these </w:t>
            </w:r>
            <w:r>
              <w:t xml:space="preserve">patients </w:t>
            </w:r>
            <w:r w:rsidR="00645C6A">
              <w:t>had been</w:t>
            </w:r>
            <w:r>
              <w:t xml:space="preserve"> fully evaluated</w:t>
            </w:r>
            <w:r w:rsidR="003B6D7E">
              <w:t xml:space="preserve"> and constitute the main focus of this study</w:t>
            </w:r>
            <w:r>
              <w:t>.</w:t>
            </w:r>
            <w:bookmarkEnd w:id="1"/>
          </w:p>
        </w:tc>
      </w:tr>
      <w:tr w:rsidR="00E8348C" w:rsidRPr="008A7C90" w14:paraId="7840AA83" w14:textId="77777777" w:rsidTr="23FD5CC0">
        <w:trPr>
          <w:trHeight w:val="1061"/>
        </w:trPr>
        <w:tc>
          <w:tcPr>
            <w:tcW w:w="2638" w:type="dxa"/>
          </w:tcPr>
          <w:p w14:paraId="13156944" w14:textId="7777777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Outcomes/Key Findings</w:t>
            </w:r>
          </w:p>
        </w:tc>
        <w:tc>
          <w:tcPr>
            <w:tcW w:w="7707" w:type="dxa"/>
          </w:tcPr>
          <w:p w14:paraId="371E81AA" w14:textId="70F67F5C" w:rsidR="00DD0992" w:rsidRPr="009E72BA" w:rsidRDefault="00DD0992" w:rsidP="00DD0992">
            <w:pPr>
              <w:contextualSpacing/>
            </w:pPr>
            <w:bookmarkStart w:id="2" w:name="_Hlk71823880"/>
            <w:r>
              <w:t>The number of patients with high or high normal serum calcium levels in the overall population of patients was relatively low; 275 of 3001 patients.</w:t>
            </w:r>
          </w:p>
          <w:p w14:paraId="22D698EB" w14:textId="2F78DB26" w:rsidR="00A12436" w:rsidRDefault="35F192AA" w:rsidP="19A05A99">
            <w:pPr>
              <w:contextualSpacing/>
            </w:pPr>
            <w:r>
              <w:t>However, h</w:t>
            </w:r>
            <w:r w:rsidR="73BA425E">
              <w:t xml:space="preserve">yperparathyroidism was relatively common </w:t>
            </w:r>
            <w:proofErr w:type="gramStart"/>
            <w:r>
              <w:t xml:space="preserve">among </w:t>
            </w:r>
            <w:r w:rsidR="58C6ECAC">
              <w:t xml:space="preserve"> </w:t>
            </w:r>
            <w:r w:rsidR="53D4CAA2">
              <w:t>241</w:t>
            </w:r>
            <w:proofErr w:type="gramEnd"/>
            <w:r w:rsidR="53D4CAA2">
              <w:t xml:space="preserve"> calcium containing stone formers</w:t>
            </w:r>
            <w:r w:rsidR="58C6ECAC">
              <w:t xml:space="preserve"> with a high or high normal </w:t>
            </w:r>
            <w:proofErr w:type="spellStart"/>
            <w:r w:rsidR="58C6ECAC">
              <w:t>sCa</w:t>
            </w:r>
            <w:proofErr w:type="spellEnd"/>
            <w:r>
              <w:t xml:space="preserve">; </w:t>
            </w:r>
            <w:r w:rsidR="73BA425E">
              <w:t xml:space="preserve">40 </w:t>
            </w:r>
            <w:r w:rsidR="2F50F77D">
              <w:t>patients with</w:t>
            </w:r>
            <w:r w:rsidR="73BA425E">
              <w:t xml:space="preserve"> either NCHP or PHP </w:t>
            </w:r>
            <w:r w:rsidR="58C6ECAC">
              <w:t xml:space="preserve">were </w:t>
            </w:r>
            <w:r w:rsidR="73BA425E">
              <w:t>identified</w:t>
            </w:r>
            <w:r w:rsidR="58C6ECAC">
              <w:t xml:space="preserve"> and</w:t>
            </w:r>
            <w:r w:rsidR="73BA425E">
              <w:t xml:space="preserve"> 34 of the</w:t>
            </w:r>
            <w:r w:rsidR="5E73D133">
              <w:t>m</w:t>
            </w:r>
            <w:r w:rsidR="73BA425E">
              <w:t xml:space="preserve"> </w:t>
            </w:r>
            <w:r w:rsidR="00E449F2">
              <w:t xml:space="preserve">either </w:t>
            </w:r>
            <w:r w:rsidR="73BA425E">
              <w:t>underwent surgical intervention</w:t>
            </w:r>
            <w:r w:rsidR="00E449F2">
              <w:t xml:space="preserve"> or are awaiting surgery</w:t>
            </w:r>
            <w:r w:rsidR="73BA425E">
              <w:t xml:space="preserve">. </w:t>
            </w:r>
          </w:p>
          <w:p w14:paraId="1C5B231F" w14:textId="4A7BFED8" w:rsidR="00E8348C" w:rsidRDefault="00A12436" w:rsidP="19A05A99">
            <w:pPr>
              <w:contextualSpacing/>
            </w:pPr>
            <w:r>
              <w:t xml:space="preserve">Of </w:t>
            </w:r>
            <w:r w:rsidR="009813C1">
              <w:t xml:space="preserve">196 patients </w:t>
            </w:r>
            <w:r>
              <w:t>with</w:t>
            </w:r>
            <w:r w:rsidR="00544F68">
              <w:t xml:space="preserve"> a</w:t>
            </w:r>
            <w:r w:rsidR="009813C1">
              <w:t xml:space="preserve"> </w:t>
            </w:r>
            <w:proofErr w:type="spellStart"/>
            <w:r w:rsidR="009813C1">
              <w:t>sCa</w:t>
            </w:r>
            <w:proofErr w:type="spellEnd"/>
            <w:r w:rsidR="009813C1">
              <w:t xml:space="preserve"> 10-10.5 </w:t>
            </w:r>
            <w:r w:rsidR="00645C6A">
              <w:t>mg/</w:t>
            </w:r>
            <w:proofErr w:type="gramStart"/>
            <w:r w:rsidR="00645C6A">
              <w:t xml:space="preserve">dL </w:t>
            </w:r>
            <w:r>
              <w:t>,</w:t>
            </w:r>
            <w:proofErr w:type="gramEnd"/>
            <w:r>
              <w:t xml:space="preserve"> </w:t>
            </w:r>
            <w:r w:rsidR="009813C1">
              <w:t xml:space="preserve">14 </w:t>
            </w:r>
            <w:r>
              <w:t>were found to have</w:t>
            </w:r>
            <w:r w:rsidR="009813C1">
              <w:t xml:space="preserve"> NCHP (7.1%)</w:t>
            </w:r>
            <w:r>
              <w:t>.</w:t>
            </w:r>
          </w:p>
          <w:p w14:paraId="64249A22" w14:textId="11EC8D99" w:rsidR="009813C1" w:rsidRDefault="009813C1" w:rsidP="19A05A99">
            <w:pPr>
              <w:contextualSpacing/>
            </w:pPr>
            <w:r>
              <w:t xml:space="preserve">2.6% of patients with </w:t>
            </w:r>
            <w:proofErr w:type="spellStart"/>
            <w:r>
              <w:t>sCa</w:t>
            </w:r>
            <w:proofErr w:type="spellEnd"/>
            <w:r>
              <w:t xml:space="preserve"> 10-10.2</w:t>
            </w:r>
            <w:r w:rsidR="00645C6A">
              <w:t xml:space="preserve"> mg/dL</w:t>
            </w:r>
            <w:r>
              <w:t xml:space="preserve"> had </w:t>
            </w:r>
            <w:proofErr w:type="gramStart"/>
            <w:r>
              <w:t>NCHP</w:t>
            </w:r>
            <w:r w:rsidR="00814B47">
              <w:t>;</w:t>
            </w:r>
            <w:proofErr w:type="gramEnd"/>
            <w:r w:rsidR="00814B47">
              <w:t xml:space="preserve"> </w:t>
            </w:r>
          </w:p>
          <w:p w14:paraId="53FA415F" w14:textId="7E9F0A03" w:rsidR="009813C1" w:rsidRDefault="009813C1" w:rsidP="19A05A99">
            <w:pPr>
              <w:contextualSpacing/>
            </w:pPr>
            <w:r>
              <w:t xml:space="preserve">24% of patients with </w:t>
            </w:r>
            <w:proofErr w:type="spellStart"/>
            <w:r>
              <w:t>sCa</w:t>
            </w:r>
            <w:proofErr w:type="spellEnd"/>
            <w:r>
              <w:t xml:space="preserve"> 10.3-10.5</w:t>
            </w:r>
            <w:r w:rsidR="00645C6A">
              <w:t xml:space="preserve"> mg/dL</w:t>
            </w:r>
            <w:r>
              <w:t xml:space="preserve"> had NCHP</w:t>
            </w:r>
            <w:r w:rsidR="00544F68">
              <w:t>.</w:t>
            </w:r>
          </w:p>
          <w:p w14:paraId="726DA19C" w14:textId="3B00D3FD" w:rsidR="00A12436" w:rsidRDefault="007E6B98" w:rsidP="19A05A99">
            <w:pPr>
              <w:contextualSpacing/>
            </w:pPr>
            <w:r>
              <w:t xml:space="preserve">Of </w:t>
            </w:r>
            <w:r w:rsidR="00A12436">
              <w:t xml:space="preserve">45 patients </w:t>
            </w:r>
            <w:r>
              <w:t>with</w:t>
            </w:r>
            <w:r w:rsidR="00A12436">
              <w:t xml:space="preserve"> </w:t>
            </w:r>
            <w:proofErr w:type="spellStart"/>
            <w:r w:rsidR="00A12436">
              <w:t>sCa</w:t>
            </w:r>
            <w:proofErr w:type="spellEnd"/>
            <w:r w:rsidR="00A12436">
              <w:t xml:space="preserve"> &gt;10.5mg/dL</w:t>
            </w:r>
            <w:r>
              <w:t xml:space="preserve">, </w:t>
            </w:r>
            <w:r w:rsidR="00A12436">
              <w:t xml:space="preserve">26 </w:t>
            </w:r>
            <w:r>
              <w:t xml:space="preserve">were found to have </w:t>
            </w:r>
            <w:r w:rsidR="00A12436">
              <w:t xml:space="preserve">PHP (58%). </w:t>
            </w:r>
          </w:p>
          <w:p w14:paraId="367147AC" w14:textId="10FB0D63" w:rsidR="00A12436" w:rsidRDefault="00A12436" w:rsidP="19A05A99">
            <w:pPr>
              <w:contextualSpacing/>
            </w:pPr>
            <w:r>
              <w:t xml:space="preserve">11 of 14 patients with NCHP underwent surgical treatment </w:t>
            </w:r>
            <w:r w:rsidR="00F71289">
              <w:t>or are awaiting surgery.</w:t>
            </w:r>
          </w:p>
          <w:p w14:paraId="625441CA" w14:textId="21BA6F18" w:rsidR="00A12436" w:rsidRDefault="00A12436" w:rsidP="00A12436">
            <w:pPr>
              <w:contextualSpacing/>
            </w:pPr>
            <w:r>
              <w:t xml:space="preserve">23 of 26 patients with PHP underwent surgical treatment </w:t>
            </w:r>
            <w:r w:rsidR="00F71289">
              <w:t>or are awaiting surgery.</w:t>
            </w:r>
          </w:p>
          <w:p w14:paraId="55C909CC" w14:textId="556CD180" w:rsidR="00A12436" w:rsidRDefault="00A12436" w:rsidP="19A05A99">
            <w:pPr>
              <w:contextualSpacing/>
            </w:pPr>
          </w:p>
          <w:p w14:paraId="1A5B53F0" w14:textId="62AAE5BE" w:rsidR="00544F68" w:rsidRDefault="00544F68" w:rsidP="19A05A99">
            <w:pPr>
              <w:contextualSpacing/>
            </w:pPr>
            <w:r w:rsidRPr="009E72BA">
              <w:t xml:space="preserve">Conclusion: A significant number of </w:t>
            </w:r>
            <w:proofErr w:type="gramStart"/>
            <w:r w:rsidR="00125BA5" w:rsidRPr="009E72BA">
              <w:t>high risk</w:t>
            </w:r>
            <w:proofErr w:type="gramEnd"/>
            <w:r w:rsidR="00125BA5" w:rsidRPr="009E72BA">
              <w:t xml:space="preserve"> kidney stone </w:t>
            </w:r>
            <w:r w:rsidRPr="009E72BA">
              <w:t>patients with high normal serum calcium levels have NCHP. A cutoff of 10.3 – 10.5</w:t>
            </w:r>
            <w:r w:rsidR="00645C6A" w:rsidRPr="009E72BA">
              <w:t xml:space="preserve"> mg/dL</w:t>
            </w:r>
            <w:r w:rsidRPr="009E72BA">
              <w:t xml:space="preserve"> provided the </w:t>
            </w:r>
            <w:r w:rsidR="005230B3" w:rsidRPr="009E72BA">
              <w:t>best discrimination</w:t>
            </w:r>
            <w:r w:rsidR="00645C6A" w:rsidRPr="009E72BA">
              <w:t xml:space="preserve"> to balance appropriate surveillance </w:t>
            </w:r>
            <w:r w:rsidR="00A12436" w:rsidRPr="009E72BA">
              <w:t xml:space="preserve">versus unnecessary evaluation and care. </w:t>
            </w:r>
          </w:p>
          <w:bookmarkEnd w:id="2"/>
          <w:p w14:paraId="3774006A" w14:textId="6D803DBB" w:rsidR="005230B3" w:rsidRPr="00544F68" w:rsidRDefault="005230B3">
            <w:pPr>
              <w:contextualSpacing/>
            </w:pPr>
          </w:p>
        </w:tc>
      </w:tr>
      <w:tr w:rsidR="00E8348C" w:rsidRPr="008A7C90" w14:paraId="1AFEE115" w14:textId="77777777" w:rsidTr="23FD5CC0">
        <w:trPr>
          <w:trHeight w:val="705"/>
        </w:trPr>
        <w:tc>
          <w:tcPr>
            <w:tcW w:w="2638" w:type="dxa"/>
          </w:tcPr>
          <w:p w14:paraId="63DA52C8" w14:textId="7777777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Resulting Action/Change</w:t>
            </w:r>
          </w:p>
        </w:tc>
        <w:tc>
          <w:tcPr>
            <w:tcW w:w="7707" w:type="dxa"/>
          </w:tcPr>
          <w:p w14:paraId="49A6B1C6" w14:textId="7BE94BDE" w:rsidR="00E8348C" w:rsidRPr="008A7C90" w:rsidRDefault="35F192AA">
            <w:pPr>
              <w:contextualSpacing/>
            </w:pPr>
            <w:r>
              <w:t xml:space="preserve">Modify our program to evaluate only patients with </w:t>
            </w:r>
            <w:proofErr w:type="spellStart"/>
            <w:r>
              <w:t>sCa</w:t>
            </w:r>
            <w:proofErr w:type="spellEnd"/>
            <w:r>
              <w:t xml:space="preserve"> &gt; 10.2 mg/dL and c</w:t>
            </w:r>
            <w:r w:rsidR="5D747F1F">
              <w:t xml:space="preserve">ontinue to evaluate patients with high serum calcium </w:t>
            </w:r>
            <w:proofErr w:type="gramStart"/>
            <w:r w:rsidR="5D747F1F">
              <w:t>levels</w:t>
            </w:r>
            <w:r>
              <w:t>.</w:t>
            </w:r>
            <w:r w:rsidR="5D747F1F">
              <w:t>.</w:t>
            </w:r>
            <w:proofErr w:type="gramEnd"/>
          </w:p>
        </w:tc>
      </w:tr>
      <w:tr w:rsidR="00420901" w:rsidRPr="008A7C90" w14:paraId="0143892B" w14:textId="77777777" w:rsidTr="23FD5CC0">
        <w:trPr>
          <w:trHeight w:val="431"/>
        </w:trPr>
        <w:tc>
          <w:tcPr>
            <w:tcW w:w="2638" w:type="dxa"/>
          </w:tcPr>
          <w:p w14:paraId="537F038A" w14:textId="51221B70" w:rsidR="00420901" w:rsidRPr="008A7C90" w:rsidRDefault="00420901" w:rsidP="005D5EA7">
            <w:pPr>
              <w:contextualSpacing/>
            </w:pPr>
            <w:r>
              <w:t>Additional Recommendations</w:t>
            </w:r>
          </w:p>
        </w:tc>
        <w:tc>
          <w:tcPr>
            <w:tcW w:w="7707" w:type="dxa"/>
          </w:tcPr>
          <w:p w14:paraId="4AB79E5F" w14:textId="54D2D19D" w:rsidR="007E6B98" w:rsidRDefault="5EAEC902" w:rsidP="00426C21">
            <w:pPr>
              <w:contextualSpacing/>
            </w:pPr>
            <w:r>
              <w:t xml:space="preserve">Emphasize importance </w:t>
            </w:r>
            <w:r w:rsidR="53D4CAA2">
              <w:t xml:space="preserve">of evaluating recurrent stone patients with high normal serum calcium levels </w:t>
            </w:r>
            <w:r>
              <w:t xml:space="preserve">to </w:t>
            </w:r>
            <w:r w:rsidR="5E396A4A">
              <w:t>u</w:t>
            </w:r>
            <w:r>
              <w:t>rologists and non-</w:t>
            </w:r>
            <w:r w:rsidR="57727525">
              <w:t>u</w:t>
            </w:r>
            <w:r>
              <w:t>rologists</w:t>
            </w:r>
            <w:r w:rsidR="53D4CAA2">
              <w:t>.</w:t>
            </w:r>
          </w:p>
        </w:tc>
      </w:tr>
      <w:tr w:rsidR="00E8348C" w:rsidRPr="008A7C90" w14:paraId="5C20182D" w14:textId="77777777" w:rsidTr="23FD5CC0">
        <w:trPr>
          <w:trHeight w:val="431"/>
        </w:trPr>
        <w:tc>
          <w:tcPr>
            <w:tcW w:w="2638" w:type="dxa"/>
          </w:tcPr>
          <w:p w14:paraId="3F0DA88A" w14:textId="77777777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7707" w:type="dxa"/>
          </w:tcPr>
          <w:p w14:paraId="67491628" w14:textId="59108576" w:rsidR="009E72BA" w:rsidRDefault="53D4CAA2">
            <w:pPr>
              <w:contextualSpacing/>
            </w:pPr>
            <w:r>
              <w:t xml:space="preserve">Present </w:t>
            </w:r>
            <w:r w:rsidR="13799A14">
              <w:t xml:space="preserve">findings within KP, </w:t>
            </w:r>
            <w:r w:rsidR="58C6ECAC">
              <w:t>Urology R</w:t>
            </w:r>
            <w:r>
              <w:t xml:space="preserve">egional </w:t>
            </w:r>
            <w:r w:rsidR="58C6ECAC">
              <w:t>C</w:t>
            </w:r>
            <w:r>
              <w:t>hiefs group</w:t>
            </w:r>
            <w:r w:rsidR="13799A14">
              <w:t xml:space="preserve"> and Northern California Urologists Share more broadly </w:t>
            </w:r>
            <w:r w:rsidR="1B0FD5EB">
              <w:t>with primary care physicians and stone management programs.</w:t>
            </w:r>
            <w:r w:rsidR="00714CE1">
              <w:t>at t</w:t>
            </w:r>
            <w:r w:rsidR="009E72BA">
              <w:t>he American Urological Association Western Section</w:t>
            </w:r>
            <w:r w:rsidR="00125BA5">
              <w:t xml:space="preserve"> </w:t>
            </w:r>
            <w:r w:rsidR="009E72BA">
              <w:t xml:space="preserve">2021 </w:t>
            </w:r>
            <w:r w:rsidR="00125BA5">
              <w:t>meeting</w:t>
            </w:r>
            <w:r w:rsidR="009E72BA">
              <w:t xml:space="preserve">. </w:t>
            </w:r>
          </w:p>
          <w:p w14:paraId="0A077BAB" w14:textId="69DCE59E" w:rsidR="00E8348C" w:rsidRPr="008A7C90" w:rsidRDefault="00E8348C" w:rsidP="00426C21">
            <w:pPr>
              <w:contextualSpacing/>
            </w:pPr>
          </w:p>
        </w:tc>
      </w:tr>
      <w:tr w:rsidR="00E8348C" w:rsidRPr="008A7C90" w14:paraId="2ACA0AFD" w14:textId="77777777" w:rsidTr="23FD5CC0">
        <w:trPr>
          <w:trHeight w:val="552"/>
        </w:trPr>
        <w:tc>
          <w:tcPr>
            <w:tcW w:w="2638" w:type="dxa"/>
          </w:tcPr>
          <w:p w14:paraId="564C5402" w14:textId="3398FBDC" w:rsidR="00E8348C" w:rsidRPr="008A7C90" w:rsidRDefault="00E8348C" w:rsidP="005D5EA7">
            <w:pPr>
              <w:spacing w:after="160" w:line="259" w:lineRule="auto"/>
              <w:contextualSpacing/>
            </w:pPr>
            <w:r w:rsidRPr="008A7C90">
              <w:lastRenderedPageBreak/>
              <w:t>Implementation</w:t>
            </w:r>
            <w:r w:rsidR="007D12B1">
              <w:t xml:space="preserve"> and Follow-up</w:t>
            </w:r>
            <w:r w:rsidRPr="008A7C90">
              <w:t xml:space="preserve"> Measure</w:t>
            </w:r>
            <w:r w:rsidR="007D12B1">
              <w:t>s</w:t>
            </w:r>
          </w:p>
        </w:tc>
        <w:tc>
          <w:tcPr>
            <w:tcW w:w="7707" w:type="dxa"/>
          </w:tcPr>
          <w:p w14:paraId="493FAC83" w14:textId="503D637B" w:rsidR="00E8348C" w:rsidRPr="008A7C90" w:rsidRDefault="5EAEC902" w:rsidP="00E8348C">
            <w:pPr>
              <w:contextualSpacing/>
            </w:pPr>
            <w:r>
              <w:t>Immediate modification of the KSP protocol</w:t>
            </w:r>
            <w:r w:rsidR="5A3A1760">
              <w:t>, proportions of patients with kidney stones and high normal calcium who have appropriate work/up for hyperparathyroidism (and lack of work/up for patients below at-risk target rang</w:t>
            </w:r>
            <w:r w:rsidR="7B6BD6E9">
              <w:t>e.</w:t>
            </w:r>
          </w:p>
        </w:tc>
      </w:tr>
      <w:tr w:rsidR="00E8348C" w:rsidRPr="008A7C90" w14:paraId="088024D0" w14:textId="77777777" w:rsidTr="23FD5CC0">
        <w:trPr>
          <w:trHeight w:val="538"/>
        </w:trPr>
        <w:tc>
          <w:tcPr>
            <w:tcW w:w="2638" w:type="dxa"/>
          </w:tcPr>
          <w:p w14:paraId="6FE7C24E" w14:textId="167543DB" w:rsidR="00E8348C" w:rsidRDefault="00E8348C" w:rsidP="00E8348C">
            <w:pPr>
              <w:contextualSpacing/>
            </w:pPr>
            <w:r>
              <w:t>Reference(s) [Key Figure if applicable]</w:t>
            </w:r>
          </w:p>
          <w:p w14:paraId="241446E1" w14:textId="5EA15FDE" w:rsidR="00E8348C" w:rsidRPr="008A7C90" w:rsidRDefault="00E8348C" w:rsidP="005D5EA7">
            <w:pPr>
              <w:spacing w:after="160" w:line="259" w:lineRule="auto"/>
              <w:contextualSpacing/>
            </w:pPr>
          </w:p>
        </w:tc>
        <w:tc>
          <w:tcPr>
            <w:tcW w:w="7707" w:type="dxa"/>
          </w:tcPr>
          <w:p w14:paraId="69E4C5AB" w14:textId="23DC2665" w:rsidR="00E8348C" w:rsidRPr="008A7C90" w:rsidRDefault="00E8348C" w:rsidP="00E8348C">
            <w:pPr>
              <w:contextualSpacing/>
            </w:pPr>
          </w:p>
        </w:tc>
      </w:tr>
      <w:bookmarkEnd w:id="0"/>
    </w:tbl>
    <w:p w14:paraId="04D8E439" w14:textId="403A1450" w:rsidR="001B5C94" w:rsidRDefault="001B5C94" w:rsidP="0090173D">
      <w:pPr>
        <w:contextualSpacing/>
      </w:pPr>
    </w:p>
    <w:sectPr w:rsidR="001B5C94" w:rsidSect="002A5BC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E2A8" w14:textId="77777777" w:rsidR="00C71CF7" w:rsidRDefault="00C71CF7" w:rsidP="00746FF7">
      <w:pPr>
        <w:spacing w:after="0" w:line="240" w:lineRule="auto"/>
      </w:pPr>
      <w:r>
        <w:separator/>
      </w:r>
    </w:p>
  </w:endnote>
  <w:endnote w:type="continuationSeparator" w:id="0">
    <w:p w14:paraId="2252EB1D" w14:textId="77777777" w:rsidR="00C71CF7" w:rsidRDefault="00C71CF7" w:rsidP="0074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B64D" w14:textId="77777777" w:rsidR="00C71CF7" w:rsidRDefault="00C71CF7" w:rsidP="00746FF7">
      <w:pPr>
        <w:spacing w:after="0" w:line="240" w:lineRule="auto"/>
      </w:pPr>
      <w:r>
        <w:separator/>
      </w:r>
    </w:p>
  </w:footnote>
  <w:footnote w:type="continuationSeparator" w:id="0">
    <w:p w14:paraId="0A613150" w14:textId="77777777" w:rsidR="00C71CF7" w:rsidRDefault="00C71CF7" w:rsidP="0074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7C42" w14:textId="5DF21A9B" w:rsidR="003B2B3E" w:rsidRDefault="00AB4DC5">
    <w:pPr>
      <w:pStyle w:val="Header"/>
    </w:pPr>
    <w:r>
      <w:t>Targeted Analysis Program</w:t>
    </w:r>
  </w:p>
  <w:p w14:paraId="6249841E" w14:textId="77777777" w:rsidR="00746FF7" w:rsidRDefault="00746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71DF"/>
    <w:multiLevelType w:val="hybridMultilevel"/>
    <w:tmpl w:val="DDB2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F7"/>
    <w:rsid w:val="00031A19"/>
    <w:rsid w:val="00045398"/>
    <w:rsid w:val="00053C62"/>
    <w:rsid w:val="00065EBB"/>
    <w:rsid w:val="00067EF5"/>
    <w:rsid w:val="000864C8"/>
    <w:rsid w:val="00087854"/>
    <w:rsid w:val="000F1293"/>
    <w:rsid w:val="00125BA5"/>
    <w:rsid w:val="0019386F"/>
    <w:rsid w:val="001B5C94"/>
    <w:rsid w:val="001C45C1"/>
    <w:rsid w:val="001E26D4"/>
    <w:rsid w:val="00221AE7"/>
    <w:rsid w:val="002340B7"/>
    <w:rsid w:val="00297412"/>
    <w:rsid w:val="002A5BC0"/>
    <w:rsid w:val="002A7D72"/>
    <w:rsid w:val="00323C66"/>
    <w:rsid w:val="0037724E"/>
    <w:rsid w:val="00397BB1"/>
    <w:rsid w:val="003B2B3E"/>
    <w:rsid w:val="003B445A"/>
    <w:rsid w:val="003B6D7E"/>
    <w:rsid w:val="003C390D"/>
    <w:rsid w:val="003C4176"/>
    <w:rsid w:val="00420901"/>
    <w:rsid w:val="00426C21"/>
    <w:rsid w:val="00457040"/>
    <w:rsid w:val="004657E7"/>
    <w:rsid w:val="004B011A"/>
    <w:rsid w:val="004F4119"/>
    <w:rsid w:val="005230B3"/>
    <w:rsid w:val="005237FE"/>
    <w:rsid w:val="00544F68"/>
    <w:rsid w:val="0056724A"/>
    <w:rsid w:val="005C0A38"/>
    <w:rsid w:val="005C23F5"/>
    <w:rsid w:val="005D4725"/>
    <w:rsid w:val="006408B8"/>
    <w:rsid w:val="00645C6A"/>
    <w:rsid w:val="0065193B"/>
    <w:rsid w:val="006721AA"/>
    <w:rsid w:val="006C43BA"/>
    <w:rsid w:val="006F1357"/>
    <w:rsid w:val="006F2ABC"/>
    <w:rsid w:val="00714CE1"/>
    <w:rsid w:val="00722A5C"/>
    <w:rsid w:val="00746FF7"/>
    <w:rsid w:val="00761249"/>
    <w:rsid w:val="00770FF6"/>
    <w:rsid w:val="007839B0"/>
    <w:rsid w:val="007A75C3"/>
    <w:rsid w:val="007B0951"/>
    <w:rsid w:val="007B14F5"/>
    <w:rsid w:val="007C14EF"/>
    <w:rsid w:val="007D12B1"/>
    <w:rsid w:val="007E046B"/>
    <w:rsid w:val="007E6B98"/>
    <w:rsid w:val="00810994"/>
    <w:rsid w:val="00814B47"/>
    <w:rsid w:val="008412B4"/>
    <w:rsid w:val="00855FDB"/>
    <w:rsid w:val="00857194"/>
    <w:rsid w:val="00875E21"/>
    <w:rsid w:val="00885E8D"/>
    <w:rsid w:val="00897D81"/>
    <w:rsid w:val="008D7A92"/>
    <w:rsid w:val="0090173D"/>
    <w:rsid w:val="00917093"/>
    <w:rsid w:val="00923CF7"/>
    <w:rsid w:val="009264B2"/>
    <w:rsid w:val="009813C1"/>
    <w:rsid w:val="009921AA"/>
    <w:rsid w:val="009B0454"/>
    <w:rsid w:val="009B3224"/>
    <w:rsid w:val="009B5CAF"/>
    <w:rsid w:val="009E72BA"/>
    <w:rsid w:val="00A12436"/>
    <w:rsid w:val="00A2439B"/>
    <w:rsid w:val="00A3281A"/>
    <w:rsid w:val="00A44224"/>
    <w:rsid w:val="00A4432B"/>
    <w:rsid w:val="00A81CD3"/>
    <w:rsid w:val="00AA3C84"/>
    <w:rsid w:val="00AB4DC5"/>
    <w:rsid w:val="00AB6D46"/>
    <w:rsid w:val="00B20D35"/>
    <w:rsid w:val="00B35814"/>
    <w:rsid w:val="00B43FD6"/>
    <w:rsid w:val="00B507D2"/>
    <w:rsid w:val="00B63A65"/>
    <w:rsid w:val="00B75527"/>
    <w:rsid w:val="00B8332F"/>
    <w:rsid w:val="00B93D88"/>
    <w:rsid w:val="00BD102A"/>
    <w:rsid w:val="00BE3C88"/>
    <w:rsid w:val="00C31A9D"/>
    <w:rsid w:val="00C71CF7"/>
    <w:rsid w:val="00D04977"/>
    <w:rsid w:val="00D068AA"/>
    <w:rsid w:val="00D231B3"/>
    <w:rsid w:val="00D3466C"/>
    <w:rsid w:val="00D53395"/>
    <w:rsid w:val="00D8736D"/>
    <w:rsid w:val="00D938A3"/>
    <w:rsid w:val="00DB5DB2"/>
    <w:rsid w:val="00DC09C7"/>
    <w:rsid w:val="00DD0992"/>
    <w:rsid w:val="00E13703"/>
    <w:rsid w:val="00E33E5E"/>
    <w:rsid w:val="00E416F1"/>
    <w:rsid w:val="00E449F2"/>
    <w:rsid w:val="00E5510B"/>
    <w:rsid w:val="00E82AE0"/>
    <w:rsid w:val="00E8348C"/>
    <w:rsid w:val="00EB0742"/>
    <w:rsid w:val="00EC47D4"/>
    <w:rsid w:val="00EC589C"/>
    <w:rsid w:val="00EE79D6"/>
    <w:rsid w:val="00F02925"/>
    <w:rsid w:val="00F14CD8"/>
    <w:rsid w:val="00F15D26"/>
    <w:rsid w:val="00F34A65"/>
    <w:rsid w:val="00F71289"/>
    <w:rsid w:val="00F82233"/>
    <w:rsid w:val="00F975DC"/>
    <w:rsid w:val="00FB2D1C"/>
    <w:rsid w:val="00FC3351"/>
    <w:rsid w:val="00FE2A37"/>
    <w:rsid w:val="00FE7C31"/>
    <w:rsid w:val="015DB3F4"/>
    <w:rsid w:val="0CEA786C"/>
    <w:rsid w:val="0E161BB7"/>
    <w:rsid w:val="11B4B650"/>
    <w:rsid w:val="13799A14"/>
    <w:rsid w:val="16DB11B9"/>
    <w:rsid w:val="17380215"/>
    <w:rsid w:val="19A05A99"/>
    <w:rsid w:val="1B0FD5EB"/>
    <w:rsid w:val="1F29EB9D"/>
    <w:rsid w:val="23FD5CC0"/>
    <w:rsid w:val="28BE25D9"/>
    <w:rsid w:val="2DEB92C0"/>
    <w:rsid w:val="2F50F77D"/>
    <w:rsid w:val="35F192AA"/>
    <w:rsid w:val="3A5C1FB1"/>
    <w:rsid w:val="3EB1D53F"/>
    <w:rsid w:val="43B6323C"/>
    <w:rsid w:val="4601BD2F"/>
    <w:rsid w:val="4604CF8D"/>
    <w:rsid w:val="4793D23E"/>
    <w:rsid w:val="49E6ABF4"/>
    <w:rsid w:val="50EC7F23"/>
    <w:rsid w:val="53D4CAA2"/>
    <w:rsid w:val="57727525"/>
    <w:rsid w:val="58C6ECAC"/>
    <w:rsid w:val="5A3A1760"/>
    <w:rsid w:val="5D51DCD4"/>
    <w:rsid w:val="5D747F1F"/>
    <w:rsid w:val="5E396A4A"/>
    <w:rsid w:val="5E73D133"/>
    <w:rsid w:val="5EAEC902"/>
    <w:rsid w:val="61FBE45A"/>
    <w:rsid w:val="6939CCA6"/>
    <w:rsid w:val="69F48563"/>
    <w:rsid w:val="6C94C136"/>
    <w:rsid w:val="6DEAC877"/>
    <w:rsid w:val="73BA425E"/>
    <w:rsid w:val="77F42043"/>
    <w:rsid w:val="7B6BD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909D"/>
  <w15:chartTrackingRefBased/>
  <w15:docId w15:val="{D778A3EF-757F-4382-85DD-645FB9DE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F7"/>
  </w:style>
  <w:style w:type="paragraph" w:styleId="Heading1">
    <w:name w:val="heading 1"/>
    <w:basedOn w:val="Normal"/>
    <w:next w:val="Normal"/>
    <w:link w:val="Heading1Char"/>
    <w:uiPriority w:val="9"/>
    <w:qFormat/>
    <w:rsid w:val="00E83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F7"/>
  </w:style>
  <w:style w:type="paragraph" w:styleId="Footer">
    <w:name w:val="footer"/>
    <w:basedOn w:val="Normal"/>
    <w:link w:val="Foot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F7"/>
  </w:style>
  <w:style w:type="character" w:styleId="Hyperlink">
    <w:name w:val="Hyperlink"/>
    <w:basedOn w:val="DefaultParagraphFont"/>
    <w:uiPriority w:val="99"/>
    <w:unhideWhenUsed/>
    <w:rsid w:val="006721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1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1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70FF6"/>
    <w:pPr>
      <w:ind w:left="720"/>
      <w:contextualSpacing/>
    </w:pPr>
  </w:style>
  <w:style w:type="paragraph" w:styleId="Revision">
    <w:name w:val="Revision"/>
    <w:hidden/>
    <w:uiPriority w:val="99"/>
    <w:semiHidden/>
    <w:rsid w:val="00901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B95C7-E226-4C3C-80FE-FB685D53B0B9}"/>
</file>

<file path=customXml/itemProps2.xml><?xml version="1.0" encoding="utf-8"?>
<ds:datastoreItem xmlns:ds="http://schemas.openxmlformats.org/officeDocument/2006/customXml" ds:itemID="{AF0A6262-C714-4567-A68D-EF6A68FD7142}"/>
</file>

<file path=customXml/itemProps3.xml><?xml version="1.0" encoding="utf-8"?>
<ds:datastoreItem xmlns:ds="http://schemas.openxmlformats.org/officeDocument/2006/customXml" ds:itemID="{9AECFD56-0E48-4D36-9125-ED649ACE5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Cimone E Parker</cp:lastModifiedBy>
  <cp:revision>6</cp:revision>
  <dcterms:created xsi:type="dcterms:W3CDTF">2021-09-28T01:20:00Z</dcterms:created>
  <dcterms:modified xsi:type="dcterms:W3CDTF">2022-01-27T18:41:00Z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