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c="http://schemas.openxmlformats.org/drawingml/2006/chart" mc:Ignorable="w14 w15 w16se w16cid wp14">
  <w:body>
    <w:p w:rsidR="1A557A28" w:rsidP="4E551E08" w:rsidRDefault="00DC4638" w14:paraId="122812DC" w14:textId="3C3818C2">
      <w:pPr>
        <w:rPr>
          <w:rFonts w:ascii="Calibri" w:hAnsi="Calibri" w:eastAsia="Calibri" w:cs="Calibri"/>
          <w:color w:val="4472C4" w:themeColor="accent1"/>
          <w:sz w:val="28"/>
          <w:szCs w:val="28"/>
        </w:rPr>
      </w:pPr>
      <w:r>
        <w:rPr>
          <w:rFonts w:ascii="Calibri" w:hAnsi="Calibri" w:eastAsia="Calibri" w:cs="Calibri"/>
          <w:color w:val="4472C4" w:themeColor="accent1"/>
          <w:sz w:val="28"/>
          <w:szCs w:val="28"/>
        </w:rPr>
        <w:t>Telepsychiatry program provides rapid mental health evaluation and referral for treatment among adults with mild-to-moderate mental health symptoms</w:t>
      </w:r>
    </w:p>
    <w:p w:rsidR="008A7C90" w:rsidP="00D24534" w:rsidRDefault="00DC4638" w14:paraId="7FCD574A" w14:textId="7149F156">
      <w:pPr>
        <w:spacing w:after="0"/>
      </w:pPr>
      <w:r w:rsidRPr="00DC4638">
        <w:t>Matthew E. Hirschtritt, M.D., M.P.H.</w:t>
      </w:r>
      <w:r>
        <w:t xml:space="preserve">; </w:t>
      </w:r>
      <w:r w:rsidRPr="00DC4638">
        <w:t>Stacy Sterling, Ph.D.</w:t>
      </w:r>
      <w:r>
        <w:t xml:space="preserve">; </w:t>
      </w:r>
      <w:r w:rsidRPr="00DC4638">
        <w:t>Carrie Graham Lee, L.C.S.W., M.P.H.; Erin Weltzien; Andrea Kline-Simon, M.S.</w:t>
      </w:r>
    </w:p>
    <w:tbl>
      <w:tblPr>
        <w:tblStyle w:val="TableGrid"/>
        <w:tblpPr w:leftFromText="180" w:rightFromText="180" w:vertAnchor="page" w:horzAnchor="margin" w:tblpY="2581"/>
        <w:tblW w:w="10705" w:type="dxa"/>
        <w:tblLook w:val="04A0" w:firstRow="1" w:lastRow="0" w:firstColumn="1" w:lastColumn="0" w:noHBand="0" w:noVBand="1"/>
      </w:tblPr>
      <w:tblGrid>
        <w:gridCol w:w="1975"/>
        <w:gridCol w:w="8730"/>
      </w:tblGrid>
      <w:tr w:rsidRPr="008A7C90" w:rsidR="0048655A" w:rsidTr="0602C821" w14:paraId="307289BF" w14:textId="77777777">
        <w:trPr>
          <w:trHeight w:val="816"/>
        </w:trPr>
        <w:tc>
          <w:tcPr>
            <w:tcW w:w="1975" w:type="dxa"/>
            <w:tcMar/>
          </w:tcPr>
          <w:p w:rsidRPr="008A7C90" w:rsidR="0048655A" w:rsidP="0048655A" w:rsidRDefault="0048655A" w14:paraId="2C7E2D09" w14:textId="77777777">
            <w:pPr>
              <w:spacing w:line="259" w:lineRule="auto"/>
            </w:pPr>
            <w:bookmarkStart w:name="_Hlk54105970" w:id="0"/>
            <w:r w:rsidRPr="008A7C90">
              <w:t>Challenge</w:t>
            </w:r>
          </w:p>
        </w:tc>
        <w:tc>
          <w:tcPr>
            <w:tcW w:w="8730" w:type="dxa"/>
            <w:tcMar/>
          </w:tcPr>
          <w:p w:rsidRPr="0031051B" w:rsidR="0048655A" w:rsidP="0048655A" w:rsidRDefault="00384861" w14:paraId="7F9273D4" w14:textId="631EB2D2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Demand for mental health services among KPNC members is high and continues to increase, which may exceed </w:t>
            </w:r>
            <w:r w:rsidR="00A55513">
              <w:rPr>
                <w:b/>
                <w:bCs/>
              </w:rPr>
              <w:t xml:space="preserve">current services </w:t>
            </w:r>
            <w:r w:rsidR="00C20722">
              <w:rPr>
                <w:b/>
                <w:bCs/>
              </w:rPr>
              <w:t xml:space="preserve">capacity </w:t>
            </w:r>
            <w:r w:rsidR="00A55513">
              <w:rPr>
                <w:b/>
                <w:bCs/>
              </w:rPr>
              <w:t>within KPNC. Strategies for addressing the mental health needs of members with mild-to-moderate symptoms are needed.</w:t>
            </w:r>
          </w:p>
        </w:tc>
      </w:tr>
      <w:tr w:rsidRPr="008A7C90" w:rsidR="0048655A" w:rsidTr="0602C821" w14:paraId="67D435C8" w14:textId="77777777">
        <w:trPr>
          <w:trHeight w:val="1091"/>
        </w:trPr>
        <w:tc>
          <w:tcPr>
            <w:tcW w:w="1975" w:type="dxa"/>
            <w:tcMar/>
          </w:tcPr>
          <w:p w:rsidRPr="008A7C90" w:rsidR="0048655A" w:rsidP="0048655A" w:rsidRDefault="0048655A" w14:paraId="351B366F" w14:textId="77777777">
            <w:pPr>
              <w:spacing w:line="259" w:lineRule="auto"/>
            </w:pPr>
            <w:r w:rsidRPr="008A7C90">
              <w:t>Existing Evidence</w:t>
            </w:r>
          </w:p>
        </w:tc>
        <w:tc>
          <w:tcPr>
            <w:tcW w:w="8730" w:type="dxa"/>
            <w:tcMar/>
          </w:tcPr>
          <w:p w:rsidRPr="008A7C90" w:rsidR="0048655A" w:rsidP="0048655A" w:rsidRDefault="00A55513" w14:paraId="70041630" w14:textId="62439367">
            <w:pPr>
              <w:spacing w:line="259" w:lineRule="auto"/>
            </w:pPr>
            <w:r>
              <w:t xml:space="preserve">Since the inception of the Connect 2 Care (C2C) telepsychiatry center in June 2018, </w:t>
            </w:r>
            <w:r w:rsidR="006069E4">
              <w:t>timely access from</w:t>
            </w:r>
            <w:r>
              <w:t xml:space="preserve"> initial referral for mental health services to non-physician </w:t>
            </w:r>
            <w:r w:rsidR="002A70BE">
              <w:t>mental health evaluation has consistently remained above 80</w:t>
            </w:r>
            <w:r w:rsidR="006069E4">
              <w:t>%</w:t>
            </w:r>
            <w:r w:rsidR="00C20722">
              <w:t>;</w:t>
            </w:r>
            <w:r w:rsidR="006069E4">
              <w:t xml:space="preserve"> </w:t>
            </w:r>
            <w:r w:rsidR="00C20722">
              <w:t>p</w:t>
            </w:r>
            <w:r w:rsidR="006069E4">
              <w:t>atients</w:t>
            </w:r>
            <w:r w:rsidR="007D29BF">
              <w:t xml:space="preserve"> referred to C2C</w:t>
            </w:r>
            <w:r w:rsidR="006069E4">
              <w:t xml:space="preserve"> are often able to meet with a C2C initial assessment coordinator (IAC) within 0-3 days.</w:t>
            </w:r>
          </w:p>
        </w:tc>
      </w:tr>
      <w:tr w:rsidRPr="008A7C90" w:rsidR="0048655A" w:rsidTr="0602C821" w14:paraId="136E6453" w14:textId="77777777">
        <w:trPr>
          <w:trHeight w:val="262"/>
        </w:trPr>
        <w:tc>
          <w:tcPr>
            <w:tcW w:w="1975" w:type="dxa"/>
            <w:tcMar/>
          </w:tcPr>
          <w:p w:rsidRPr="008A7C90" w:rsidR="0048655A" w:rsidP="0048655A" w:rsidRDefault="0048655A" w14:paraId="53202DB8" w14:textId="77777777">
            <w:pPr>
              <w:spacing w:line="259" w:lineRule="auto"/>
            </w:pPr>
            <w:r w:rsidRPr="008A7C90">
              <w:t>Target Population</w:t>
            </w:r>
          </w:p>
        </w:tc>
        <w:tc>
          <w:tcPr>
            <w:tcW w:w="8730" w:type="dxa"/>
            <w:tcMar/>
          </w:tcPr>
          <w:p w:rsidRPr="008A7C90" w:rsidR="0048655A" w:rsidP="0048655A" w:rsidRDefault="006069E4" w14:paraId="1486D38C" w14:textId="460382E1">
            <w:pPr>
              <w:spacing w:line="259" w:lineRule="auto"/>
            </w:pPr>
            <w:r>
              <w:t>Adult KPNC members with mild-to-moderate psychiatric symptoms</w:t>
            </w:r>
            <w:r w:rsidR="00C20722">
              <w:t>, who comprise the majority of KPNC patients with psychiatric symptoms</w:t>
            </w:r>
            <w:r>
              <w:t>.</w:t>
            </w:r>
          </w:p>
        </w:tc>
      </w:tr>
      <w:tr w:rsidRPr="008A7C90" w:rsidR="0048655A" w:rsidTr="0602C821" w14:paraId="5B80BED5" w14:textId="77777777">
        <w:trPr>
          <w:trHeight w:val="276"/>
        </w:trPr>
        <w:tc>
          <w:tcPr>
            <w:tcW w:w="1975" w:type="dxa"/>
            <w:tcMar/>
          </w:tcPr>
          <w:p w:rsidRPr="008A7C90" w:rsidR="0048655A" w:rsidP="0048655A" w:rsidRDefault="0048655A" w14:paraId="0D0B7C0D" w14:textId="77777777">
            <w:pPr>
              <w:spacing w:line="259" w:lineRule="auto"/>
            </w:pPr>
            <w:r w:rsidRPr="008A7C90">
              <w:t>Intervention or Exposure</w:t>
            </w:r>
          </w:p>
        </w:tc>
        <w:tc>
          <w:tcPr>
            <w:tcW w:w="8730" w:type="dxa"/>
            <w:tcMar/>
          </w:tcPr>
          <w:p w:rsidRPr="008A7C90" w:rsidR="0048655A" w:rsidP="0048655A" w:rsidRDefault="006069E4" w14:paraId="0CA2C589" w14:textId="67D87E96">
            <w:pPr>
              <w:spacing w:line="259" w:lineRule="auto"/>
            </w:pPr>
            <w:r>
              <w:t>Initial psychiatric assessment and referral to services through the C2C center</w:t>
            </w:r>
            <w:r w:rsidR="0072282A">
              <w:t xml:space="preserve"> or within the member’s local mental health department</w:t>
            </w:r>
            <w:r w:rsidR="004A6502">
              <w:t xml:space="preserve"> between June 2018 and February 2020</w:t>
            </w:r>
            <w:r w:rsidR="0072282A">
              <w:t>.</w:t>
            </w:r>
          </w:p>
        </w:tc>
      </w:tr>
      <w:tr w:rsidRPr="008A7C90" w:rsidR="0048655A" w:rsidTr="0602C821" w14:paraId="13978FD3" w14:textId="77777777">
        <w:trPr>
          <w:trHeight w:val="2282"/>
        </w:trPr>
        <w:tc>
          <w:tcPr>
            <w:tcW w:w="1975" w:type="dxa"/>
            <w:tcMar/>
          </w:tcPr>
          <w:p w:rsidRPr="00EF635D" w:rsidR="0048655A" w:rsidP="0048655A" w:rsidRDefault="0048655A" w14:paraId="7525D5B4" w14:textId="77777777">
            <w:pPr>
              <w:spacing w:line="259" w:lineRule="auto"/>
              <w:rPr>
                <w:b/>
                <w:bCs/>
              </w:rPr>
            </w:pPr>
            <w:r w:rsidRPr="00EF635D">
              <w:rPr>
                <w:b/>
                <w:bCs/>
              </w:rPr>
              <w:t>Outcomes/Key Findings</w:t>
            </w:r>
          </w:p>
        </w:tc>
        <w:tc>
          <w:tcPr>
            <w:tcW w:w="8730" w:type="dxa"/>
            <w:tcMar/>
          </w:tcPr>
          <w:p w:rsidRPr="008A7C90" w:rsidR="0048655A" w:rsidP="0031051B" w:rsidRDefault="004A6502" w14:paraId="3CD35CB0" w14:textId="4B848D08">
            <w:pPr>
              <w:spacing w:line="259" w:lineRule="auto"/>
            </w:pPr>
            <w:r w:rsidRPr="0602C821" w:rsidR="004A6502">
              <w:rPr>
                <w:b w:val="1"/>
                <w:bCs w:val="1"/>
              </w:rPr>
              <w:t xml:space="preserve">Among </w:t>
            </w:r>
            <w:r w:rsidRPr="0602C821" w:rsidR="004A6502">
              <w:rPr>
                <w:b w:val="1"/>
                <w:bCs w:val="1"/>
              </w:rPr>
              <w:t>35,242</w:t>
            </w:r>
            <w:r w:rsidRPr="0602C821" w:rsidR="004A6502">
              <w:rPr>
                <w:b w:val="1"/>
                <w:bCs w:val="1"/>
              </w:rPr>
              <w:t xml:space="preserve"> members referred to C2C, 49% and 22% received a depression-related and anxiety-related diagnosis, respectively; 83% received a clinical referral (e.g., individual therapy) and 44% received </w:t>
            </w:r>
            <w:r w:rsidRPr="0602C821" w:rsidR="004A6502">
              <w:rPr>
                <w:b w:val="1"/>
                <w:bCs w:val="1"/>
                <w:i w:val="1"/>
                <w:iCs w:val="1"/>
              </w:rPr>
              <w:t>only</w:t>
            </w:r>
            <w:r w:rsidRPr="0602C821" w:rsidR="004A6502">
              <w:rPr>
                <w:b w:val="1"/>
                <w:bCs w:val="1"/>
              </w:rPr>
              <w:t xml:space="preserve"> a clinical referral (i.e., no non-clinical referral such as behavioral health education).</w:t>
            </w:r>
            <w:r w:rsidRPr="0602C821" w:rsidR="00C73A94">
              <w:rPr>
                <w:b w:val="1"/>
                <w:bCs w:val="1"/>
              </w:rPr>
              <w:t xml:space="preserve"> </w:t>
            </w:r>
            <w:r w:rsidR="000917A4">
              <w:rPr/>
              <w:t xml:space="preserve">C2C patients, compared </w:t>
            </w:r>
            <w:r w:rsidR="00C20722">
              <w:rPr/>
              <w:t>to</w:t>
            </w:r>
            <w:r w:rsidR="000917A4">
              <w:rPr/>
              <w:t xml:space="preserve"> non-C2C patients, were more likely to be female, younger (aged 18-39, </w:t>
            </w:r>
            <w:r w:rsidR="6A5BEB5A">
              <w:rPr/>
              <w:t xml:space="preserve">vs. </w:t>
            </w:r>
            <w:r w:rsidR="000917A4">
              <w:rPr/>
              <w:t xml:space="preserve">older age groups), Asian, higher income, </w:t>
            </w:r>
            <w:r w:rsidR="5CCE66A2">
              <w:rPr/>
              <w:t xml:space="preserve">have </w:t>
            </w:r>
            <w:r w:rsidR="00C20722">
              <w:rPr/>
              <w:t xml:space="preserve">fewer medical comorbidities, </w:t>
            </w:r>
            <w:r w:rsidR="000917A4">
              <w:rPr/>
              <w:t>and were more frequently dia</w:t>
            </w:r>
            <w:bookmarkStart w:name="_GoBack" w:id="1"/>
            <w:bookmarkEnd w:id="1"/>
            <w:r w:rsidR="000917A4">
              <w:rPr/>
              <w:t>gnosed with depression.</w:t>
            </w:r>
            <w:r w:rsidR="00556FBB">
              <w:rPr/>
              <w:t xml:space="preserve"> Among members referred to C2C, t</w:t>
            </w:r>
            <w:r w:rsidR="00556FBB">
              <w:rPr/>
              <w:t>he odds of receiving a clinical referral were highest among C2C patients with depression, anxiety, substance-use, and trauma-related diagnoses, followed by adjustment disorders.</w:t>
            </w:r>
          </w:p>
        </w:tc>
      </w:tr>
      <w:tr w:rsidRPr="008A7C90" w:rsidR="0048655A" w:rsidTr="0602C821" w14:paraId="62542513" w14:textId="77777777">
        <w:trPr>
          <w:trHeight w:val="816"/>
        </w:trPr>
        <w:tc>
          <w:tcPr>
            <w:tcW w:w="1975" w:type="dxa"/>
            <w:tcMar/>
          </w:tcPr>
          <w:p w:rsidRPr="00EF635D" w:rsidR="0048655A" w:rsidP="0048655A" w:rsidRDefault="0048655A" w14:paraId="38755ADC" w14:textId="77777777">
            <w:pPr>
              <w:spacing w:line="259" w:lineRule="auto"/>
              <w:rPr>
                <w:b/>
                <w:bCs/>
              </w:rPr>
            </w:pPr>
            <w:r w:rsidRPr="00EF635D">
              <w:rPr>
                <w:b/>
                <w:bCs/>
              </w:rPr>
              <w:t>Resulting Action/Change</w:t>
            </w:r>
          </w:p>
        </w:tc>
        <w:tc>
          <w:tcPr>
            <w:tcW w:w="8730" w:type="dxa"/>
            <w:tcMar/>
          </w:tcPr>
          <w:p w:rsidRPr="00EF635D" w:rsidR="0048655A" w:rsidP="0048655A" w:rsidRDefault="00556FBB" w14:paraId="092B6F29" w14:textId="01BC76EC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Results were presented to TPMG Regional Mental Health leaders and will be considered for modifications of C2C.</w:t>
            </w:r>
            <w:r w:rsidR="00C20722">
              <w:rPr>
                <w:b/>
                <w:bCs/>
              </w:rPr>
              <w:t xml:space="preserve"> Findings also informed development of a successful Physician Researcher Program proposal.</w:t>
            </w:r>
          </w:p>
        </w:tc>
      </w:tr>
      <w:tr w:rsidRPr="008A7C90" w:rsidR="00CB0455" w:rsidTr="0602C821" w14:paraId="57800790" w14:textId="77777777">
        <w:trPr>
          <w:trHeight w:val="816"/>
        </w:trPr>
        <w:tc>
          <w:tcPr>
            <w:tcW w:w="1975" w:type="dxa"/>
            <w:tcMar/>
          </w:tcPr>
          <w:p w:rsidRPr="00EB0401" w:rsidR="00CB0455" w:rsidP="0048655A" w:rsidRDefault="00CB0455" w14:paraId="6C4E04AC" w14:textId="161310DB">
            <w:r w:rsidRPr="00EB0401">
              <w:t>Additional Recommendations</w:t>
            </w:r>
          </w:p>
        </w:tc>
        <w:tc>
          <w:tcPr>
            <w:tcW w:w="8730" w:type="dxa"/>
            <w:tcMar/>
          </w:tcPr>
          <w:p w:rsidRPr="00EB0401" w:rsidR="00CB0455" w:rsidP="0048655A" w:rsidRDefault="00556FBB" w14:paraId="08163871" w14:textId="2437CDA7">
            <w:r>
              <w:t xml:space="preserve">Subsequent </w:t>
            </w:r>
            <w:r w:rsidR="00AB2545">
              <w:t>studies will address C2C stakeholder perspectives and member service use following referral to C2C.</w:t>
            </w:r>
          </w:p>
        </w:tc>
      </w:tr>
      <w:tr w:rsidRPr="008A7C90" w:rsidR="0048655A" w:rsidTr="0602C821" w14:paraId="21F6FB6D" w14:textId="77777777">
        <w:trPr>
          <w:trHeight w:val="552"/>
        </w:trPr>
        <w:tc>
          <w:tcPr>
            <w:tcW w:w="1975" w:type="dxa"/>
            <w:tcMar/>
          </w:tcPr>
          <w:p w:rsidRPr="008A7C90" w:rsidR="0048655A" w:rsidP="0048655A" w:rsidRDefault="0048655A" w14:paraId="511F380C" w14:textId="77777777">
            <w:pPr>
              <w:spacing w:line="259" w:lineRule="auto"/>
            </w:pPr>
            <w:r w:rsidRPr="008A7C90">
              <w:t>Implementation Tools</w:t>
            </w:r>
            <w:r w:rsidRPr="008A7C90">
              <w:tab/>
            </w:r>
          </w:p>
        </w:tc>
        <w:tc>
          <w:tcPr>
            <w:tcW w:w="8730" w:type="dxa"/>
            <w:tcMar/>
          </w:tcPr>
          <w:p w:rsidRPr="008A7C90" w:rsidR="0048655A" w:rsidP="0048655A" w:rsidRDefault="00AB2545" w14:paraId="35B5FEA6" w14:textId="21B6350B">
            <w:pPr>
              <w:spacing w:line="259" w:lineRule="auto"/>
            </w:pPr>
            <w:r>
              <w:t>Modifications of the C2C program including, for instance: standardization of referral to C2C from local mental health departments; refinement of referrals from C2C by IACs; enhancement of non-clinical referral options.</w:t>
            </w:r>
          </w:p>
        </w:tc>
      </w:tr>
      <w:tr w:rsidRPr="008A7C90" w:rsidR="00AB2545" w:rsidTr="0602C821" w14:paraId="02D4678D" w14:textId="77777777">
        <w:trPr>
          <w:trHeight w:val="552"/>
        </w:trPr>
        <w:tc>
          <w:tcPr>
            <w:tcW w:w="1975" w:type="dxa"/>
            <w:tcMar/>
          </w:tcPr>
          <w:p w:rsidRPr="008A7C90" w:rsidR="00AB2545" w:rsidP="00AB2545" w:rsidRDefault="00AB2545" w14:paraId="1B184543" w14:textId="77777777">
            <w:pPr>
              <w:spacing w:line="259" w:lineRule="auto"/>
            </w:pPr>
            <w:r w:rsidRPr="008A7C90">
              <w:t>Implementation Measurement</w:t>
            </w:r>
          </w:p>
        </w:tc>
        <w:tc>
          <w:tcPr>
            <w:tcW w:w="8730" w:type="dxa"/>
            <w:tcMar/>
          </w:tcPr>
          <w:p w:rsidRPr="008A7C90" w:rsidR="00AB2545" w:rsidP="00AB2545" w:rsidRDefault="00AB2545" w14:paraId="0D25EBD1" w14:textId="46CE2C43">
            <w:pPr>
              <w:spacing w:line="259" w:lineRule="auto"/>
            </w:pPr>
            <w:r>
              <w:t>Mental health and all-cause service use; patient-reported outcomes</w:t>
            </w:r>
            <w:r w:rsidR="00442F4F">
              <w:t xml:space="preserve"> (e.g., psychiatric symptom severity self-report).</w:t>
            </w:r>
          </w:p>
        </w:tc>
      </w:tr>
      <w:tr w:rsidRPr="008A7C90" w:rsidR="00AB2545" w:rsidTr="0602C821" w14:paraId="66558595" w14:textId="77777777">
        <w:trPr>
          <w:trHeight w:val="538"/>
        </w:trPr>
        <w:tc>
          <w:tcPr>
            <w:tcW w:w="1975" w:type="dxa"/>
            <w:tcMar/>
          </w:tcPr>
          <w:p w:rsidRPr="008A7C90" w:rsidR="00AB2545" w:rsidP="00AB2545" w:rsidRDefault="00AB2545" w14:paraId="29954FA9" w14:textId="77777777">
            <w:pPr>
              <w:spacing w:line="259" w:lineRule="auto"/>
            </w:pPr>
            <w:r w:rsidRPr="008A7C90">
              <w:t>Reference</w:t>
            </w:r>
          </w:p>
        </w:tc>
        <w:tc>
          <w:tcPr>
            <w:tcW w:w="8730" w:type="dxa"/>
            <w:tcMar/>
          </w:tcPr>
          <w:p w:rsidR="00AB2545" w:rsidP="00AB2545" w:rsidRDefault="00AB2545" w14:paraId="40D835F2" w14:textId="27B99218">
            <w:pPr>
              <w:spacing w:line="259" w:lineRule="auto"/>
            </w:pPr>
            <w:r w:rsidRPr="00AB2545">
              <w:t>Types of referrals among C2C adult patients between 6/1/2018 to 2/29/2020 (n=35,242)</w:t>
            </w:r>
          </w:p>
          <w:p w:rsidRPr="008A7C90" w:rsidR="00AB2545" w:rsidP="00AB2545" w:rsidRDefault="00AB2545" w14:paraId="722DE921" w14:textId="75E9D820">
            <w:pPr>
              <w:spacing w:line="259" w:lineRule="auto"/>
            </w:pPr>
            <w:r>
              <w:rPr>
                <w:noProof/>
              </w:rPr>
              <w:drawing>
                <wp:inline distT="0" distB="0" distL="0" distR="0" wp14:anchorId="27152F4C" wp14:editId="5BAA676F">
                  <wp:extent cx="3429000" cy="1504950"/>
                  <wp:effectExtent l="0" t="0" r="0" b="0"/>
                  <wp:docPr id="5" name="Chart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627D04B-3730-4341-90BF-5EEE7B07BA1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  <w:bookmarkEnd w:id="0"/>
    </w:tbl>
    <w:p w:rsidR="00FE6194" w:rsidP="00C73A94" w:rsidRDefault="00FE6194" w14:paraId="62800767" w14:textId="77777777">
      <w:pPr>
        <w:spacing w:after="0"/>
      </w:pPr>
    </w:p>
    <w:sectPr w:rsidR="00FE6194" w:rsidSect="00D24534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90"/>
    <w:rsid w:val="000811DB"/>
    <w:rsid w:val="000917A4"/>
    <w:rsid w:val="001D52BB"/>
    <w:rsid w:val="001E348B"/>
    <w:rsid w:val="002A1A00"/>
    <w:rsid w:val="002A70BE"/>
    <w:rsid w:val="0031051B"/>
    <w:rsid w:val="00384861"/>
    <w:rsid w:val="003D755D"/>
    <w:rsid w:val="003E27D1"/>
    <w:rsid w:val="003E34C5"/>
    <w:rsid w:val="00442F4F"/>
    <w:rsid w:val="0048655A"/>
    <w:rsid w:val="004A6502"/>
    <w:rsid w:val="00514319"/>
    <w:rsid w:val="00556FBB"/>
    <w:rsid w:val="006069E4"/>
    <w:rsid w:val="006D32D2"/>
    <w:rsid w:val="0072282A"/>
    <w:rsid w:val="0072563B"/>
    <w:rsid w:val="00777238"/>
    <w:rsid w:val="007D29BF"/>
    <w:rsid w:val="008131C8"/>
    <w:rsid w:val="008A7C90"/>
    <w:rsid w:val="009001F2"/>
    <w:rsid w:val="00933309"/>
    <w:rsid w:val="00A16BB1"/>
    <w:rsid w:val="00A55513"/>
    <w:rsid w:val="00AB2545"/>
    <w:rsid w:val="00C20722"/>
    <w:rsid w:val="00C3487D"/>
    <w:rsid w:val="00C4025A"/>
    <w:rsid w:val="00C73A94"/>
    <w:rsid w:val="00CB0455"/>
    <w:rsid w:val="00CF4301"/>
    <w:rsid w:val="00D003F1"/>
    <w:rsid w:val="00D24534"/>
    <w:rsid w:val="00D61C5B"/>
    <w:rsid w:val="00DC4638"/>
    <w:rsid w:val="00EB0401"/>
    <w:rsid w:val="00EF635D"/>
    <w:rsid w:val="00FE6194"/>
    <w:rsid w:val="0602C821"/>
    <w:rsid w:val="0B4BE6C0"/>
    <w:rsid w:val="1A557A28"/>
    <w:rsid w:val="30BD5087"/>
    <w:rsid w:val="4E551E08"/>
    <w:rsid w:val="5CCE66A2"/>
    <w:rsid w:val="6A5BE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387FD"/>
  <w15:chartTrackingRefBased/>
  <w15:docId w15:val="{9FC22822-AC04-437A-95FB-02AB6792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A7C90"/>
  </w:style>
  <w:style w:type="paragraph" w:styleId="Heading1">
    <w:name w:val="heading 1"/>
    <w:basedOn w:val="Normal"/>
    <w:next w:val="Normal"/>
    <w:link w:val="Heading1Char"/>
    <w:uiPriority w:val="9"/>
    <w:qFormat/>
    <w:rsid w:val="008A7C9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A7C90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A7C9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8A7C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7C9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20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072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207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72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207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207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hart" Target="charts/chart1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pdorgsub.kaiser.org\p868392\rsch\dart\projects\ahk_c2c\aim2_refs_090820_graphs_v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1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115B-49B1-9CAE-191AAD7A1673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115B-49B1-9CAE-191AAD7A1673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115B-49B1-9CAE-191AAD7A1673}"/>
              </c:ext>
            </c:extLst>
          </c:dPt>
          <c:cat>
            <c:strRef>
              <c:f>'model outcome var-graph'!$A$3:$A$5</c:f>
              <c:strCache>
                <c:ptCount val="3"/>
                <c:pt idx="0">
                  <c:v>Clinical</c:v>
                </c:pt>
                <c:pt idx="1">
                  <c:v>Non-clinical only</c:v>
                </c:pt>
                <c:pt idx="2">
                  <c:v>No referral</c:v>
                </c:pt>
              </c:strCache>
            </c:strRef>
          </c:cat>
          <c:val>
            <c:numRef>
              <c:f>'model outcome var-graph'!$C$3:$C$5</c:f>
              <c:numCache>
                <c:formatCode>##0.00</c:formatCode>
                <c:ptCount val="3"/>
                <c:pt idx="0">
                  <c:v>82.54</c:v>
                </c:pt>
                <c:pt idx="1">
                  <c:v>11.73</c:v>
                </c:pt>
                <c:pt idx="2">
                  <c:v>5.73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15B-49B1-9CAE-191AAD7A16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05626639"/>
        <c:axId val="1310383567"/>
      </c:barChart>
      <c:catAx>
        <c:axId val="1305626639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Referral Type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1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10383567"/>
        <c:crosses val="autoZero"/>
        <c:auto val="1"/>
        <c:lblAlgn val="ctr"/>
        <c:lblOffset val="100"/>
        <c:noMultiLvlLbl val="0"/>
      </c:catAx>
      <c:valAx>
        <c:axId val="1310383567"/>
        <c:scaling>
          <c:orientation val="minMax"/>
          <c:max val="9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Percent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0562663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7FAD6358FF44797152258F9FF7A83" ma:contentTypeVersion="1" ma:contentTypeDescription="Create a new document." ma:contentTypeScope="" ma:versionID="fe005cc003bb5b4080769400e5f531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D82B01-1A1D-45BC-B791-740A925C912C}"/>
</file>

<file path=customXml/itemProps2.xml><?xml version="1.0" encoding="utf-8"?>
<ds:datastoreItem xmlns:ds="http://schemas.openxmlformats.org/officeDocument/2006/customXml" ds:itemID="{AC888A28-5B10-48BE-B8D6-480C75C53C84}"/>
</file>

<file path=customXml/itemProps3.xml><?xml version="1.0" encoding="utf-8"?>
<ds:datastoreItem xmlns:ds="http://schemas.openxmlformats.org/officeDocument/2006/customXml" ds:itemID="{422B8E45-4B7B-44CA-883D-6EABF409C33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Cimone E Parker</dc:creator>
  <cp:keywords/>
  <dc:description/>
  <cp:lastModifiedBy>Douglas A Corley</cp:lastModifiedBy>
  <cp:revision>4</cp:revision>
  <dcterms:created xsi:type="dcterms:W3CDTF">2020-12-17T04:18:00Z</dcterms:created>
  <dcterms:modified xsi:type="dcterms:W3CDTF">2021-03-15T01:43:39Z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0x0101000FA7FAD6358FF44797152258F9FF7A83</vt:lpwstr>
  </property>
</Properties>
</file>