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8ACE" w14:textId="6AD01464" w:rsidR="00AB4DC5" w:rsidRPr="00AB4DC5" w:rsidRDefault="00E17E9F" w:rsidP="00AB4DC5">
      <w:pPr>
        <w:pStyle w:val="Heading1"/>
        <w:contextualSpacing/>
      </w:pPr>
      <w:r>
        <w:t xml:space="preserve">Largest real-world comparison </w:t>
      </w:r>
      <w:r w:rsidR="00FC6BB1">
        <w:t xml:space="preserve">indicated </w:t>
      </w:r>
      <w:r>
        <w:t xml:space="preserve">equivalent </w:t>
      </w:r>
      <w:r w:rsidR="00D715C7">
        <w:t xml:space="preserve">antidepressant and utilization </w:t>
      </w:r>
      <w:r w:rsidR="00911B48">
        <w:t xml:space="preserve">outcomes </w:t>
      </w:r>
      <w:r w:rsidR="00F2508B">
        <w:t xml:space="preserve">associated with anesthetic type in electroconvulsive therapy (ECT) </w:t>
      </w:r>
    </w:p>
    <w:p w14:paraId="1641C560" w14:textId="49538E71" w:rsidR="00E17E9F" w:rsidRPr="00ED2EFB" w:rsidRDefault="00E17E9F" w:rsidP="00E17E9F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Kevin J. Li, MD</w:t>
      </w:r>
      <w:r w:rsidRPr="009F3F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Natalie E. Slama</w:t>
      </w:r>
      <w:r w:rsidRPr="009F3F1D">
        <w:rPr>
          <w:rFonts w:ascii="Arial" w:hAnsi="Arial" w:cs="Arial"/>
        </w:rPr>
        <w:t xml:space="preserve">, MPH, Matthew </w:t>
      </w:r>
      <w:r>
        <w:rPr>
          <w:rFonts w:ascii="Arial" w:hAnsi="Arial" w:cs="Arial"/>
        </w:rPr>
        <w:t xml:space="preserve">E. </w:t>
      </w:r>
      <w:r w:rsidRPr="009F3F1D">
        <w:rPr>
          <w:rFonts w:ascii="Arial" w:hAnsi="Arial" w:cs="Arial"/>
        </w:rPr>
        <w:t>Hirschtritt, MD, MPH, Rajani</w:t>
      </w:r>
      <w:r>
        <w:rPr>
          <w:rFonts w:ascii="Arial" w:hAnsi="Arial" w:cs="Arial"/>
        </w:rPr>
        <w:t xml:space="preserve"> S.</w:t>
      </w:r>
      <w:r w:rsidRPr="009F3F1D">
        <w:rPr>
          <w:rFonts w:ascii="Arial" w:hAnsi="Arial" w:cs="Arial"/>
        </w:rPr>
        <w:t xml:space="preserve"> </w:t>
      </w:r>
      <w:proofErr w:type="spellStart"/>
      <w:r w:rsidRPr="009F3F1D">
        <w:rPr>
          <w:rFonts w:ascii="Arial" w:hAnsi="Arial" w:cs="Arial"/>
        </w:rPr>
        <w:t>Rajan</w:t>
      </w:r>
      <w:proofErr w:type="spellEnd"/>
      <w:r w:rsidRPr="009F3F1D">
        <w:rPr>
          <w:rFonts w:ascii="Arial" w:hAnsi="Arial" w:cs="Arial"/>
        </w:rPr>
        <w:t xml:space="preserve">, MD, Prachi </w:t>
      </w:r>
      <w:proofErr w:type="spellStart"/>
      <w:r w:rsidRPr="009F3F1D">
        <w:rPr>
          <w:rFonts w:ascii="Arial" w:hAnsi="Arial" w:cs="Arial"/>
        </w:rPr>
        <w:t>Anshu</w:t>
      </w:r>
      <w:proofErr w:type="spellEnd"/>
      <w:r w:rsidRPr="009F3F1D">
        <w:rPr>
          <w:rFonts w:ascii="Arial" w:hAnsi="Arial" w:cs="Arial"/>
        </w:rPr>
        <w:t>, BS</w:t>
      </w:r>
      <w:r>
        <w:rPr>
          <w:rFonts w:ascii="Arial" w:hAnsi="Arial" w:cs="Arial"/>
        </w:rPr>
        <w:t>, Esti I</w:t>
      </w:r>
      <w:r w:rsidRPr="009F3F1D">
        <w:rPr>
          <w:rFonts w:ascii="Arial" w:hAnsi="Arial" w:cs="Arial"/>
        </w:rPr>
        <w:t>turralde, PhD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1894"/>
        <w:gridCol w:w="9261"/>
      </w:tblGrid>
      <w:tr w:rsidR="00E8348C" w:rsidRPr="008A7C90" w14:paraId="5E8C4A25" w14:textId="77777777" w:rsidTr="0038592E">
        <w:trPr>
          <w:trHeight w:val="816"/>
        </w:trPr>
        <w:tc>
          <w:tcPr>
            <w:tcW w:w="1894" w:type="dxa"/>
          </w:tcPr>
          <w:p w14:paraId="5B70F066" w14:textId="77777777" w:rsidR="00E8348C" w:rsidRPr="008A7C90" w:rsidRDefault="00E8348C" w:rsidP="004F3D75">
            <w:pPr>
              <w:spacing w:after="160" w:line="259" w:lineRule="auto"/>
              <w:contextualSpacing/>
            </w:pPr>
            <w:bookmarkStart w:id="0" w:name="_Hlk54105970"/>
            <w:r w:rsidRPr="008A7C90">
              <w:t>Challenge</w:t>
            </w:r>
          </w:p>
        </w:tc>
        <w:tc>
          <w:tcPr>
            <w:tcW w:w="9261" w:type="dxa"/>
          </w:tcPr>
          <w:p w14:paraId="16C35478" w14:textId="5AB0848B" w:rsidR="00E8348C" w:rsidRPr="00426C21" w:rsidRDefault="00E17E9F" w:rsidP="00E8348C">
            <w:pPr>
              <w:contextualSpacing/>
            </w:pPr>
            <w:r>
              <w:t>There is no set gold standard choice of anesthetic for electroconvulsive therapy (ECT).</w:t>
            </w:r>
          </w:p>
        </w:tc>
      </w:tr>
      <w:tr w:rsidR="00E8348C" w:rsidRPr="008A7C90" w14:paraId="1E76C968" w14:textId="77777777" w:rsidTr="0038592E">
        <w:trPr>
          <w:trHeight w:val="1091"/>
        </w:trPr>
        <w:tc>
          <w:tcPr>
            <w:tcW w:w="1894" w:type="dxa"/>
          </w:tcPr>
          <w:p w14:paraId="47056361" w14:textId="77777777" w:rsidR="00E8348C" w:rsidRPr="008A7C90" w:rsidRDefault="00E8348C" w:rsidP="004F3D75">
            <w:pPr>
              <w:spacing w:after="160" w:line="259" w:lineRule="auto"/>
              <w:contextualSpacing/>
            </w:pPr>
            <w:r w:rsidRPr="008A7C90">
              <w:t>Existing Evidence</w:t>
            </w:r>
          </w:p>
        </w:tc>
        <w:tc>
          <w:tcPr>
            <w:tcW w:w="9261" w:type="dxa"/>
          </w:tcPr>
          <w:p w14:paraId="34C25655" w14:textId="77B992DC" w:rsidR="00E8348C" w:rsidRPr="008A7C90" w:rsidRDefault="00E17E9F" w:rsidP="00E8348C">
            <w:pPr>
              <w:contextualSpacing/>
            </w:pPr>
            <w:r>
              <w:t>Prior to this study, there was only one small investigation with 68 patients comparing etomidate and methohexital specifically examining real-world outcomes of ECT.</w:t>
            </w:r>
          </w:p>
        </w:tc>
      </w:tr>
      <w:tr w:rsidR="00E8348C" w:rsidRPr="008A7C90" w14:paraId="4653D493" w14:textId="77777777" w:rsidTr="0038592E">
        <w:trPr>
          <w:trHeight w:val="262"/>
        </w:trPr>
        <w:tc>
          <w:tcPr>
            <w:tcW w:w="1894" w:type="dxa"/>
          </w:tcPr>
          <w:p w14:paraId="4E195C0B" w14:textId="77777777" w:rsidR="00E8348C" w:rsidRPr="008A7C90" w:rsidRDefault="00E8348C" w:rsidP="004F3D75">
            <w:pPr>
              <w:spacing w:after="160" w:line="259" w:lineRule="auto"/>
              <w:contextualSpacing/>
            </w:pPr>
            <w:r w:rsidRPr="008A7C90">
              <w:t>Target Population</w:t>
            </w:r>
          </w:p>
        </w:tc>
        <w:tc>
          <w:tcPr>
            <w:tcW w:w="9261" w:type="dxa"/>
          </w:tcPr>
          <w:p w14:paraId="3DECF3DA" w14:textId="40D9A03D" w:rsidR="00E8348C" w:rsidRPr="008A7C90" w:rsidRDefault="00E17E9F" w:rsidP="004B011A">
            <w:pPr>
              <w:contextualSpacing/>
            </w:pPr>
            <w:r>
              <w:t>Patients receiving ECT.</w:t>
            </w:r>
          </w:p>
        </w:tc>
      </w:tr>
      <w:tr w:rsidR="00E8348C" w:rsidRPr="008A7C90" w14:paraId="3C9DF6E4" w14:textId="77777777" w:rsidTr="0038592E">
        <w:trPr>
          <w:trHeight w:val="431"/>
        </w:trPr>
        <w:tc>
          <w:tcPr>
            <w:tcW w:w="1894" w:type="dxa"/>
          </w:tcPr>
          <w:p w14:paraId="190EF833" w14:textId="77777777" w:rsidR="00E8348C" w:rsidRPr="008A7C90" w:rsidRDefault="00E8348C" w:rsidP="004F3D75">
            <w:pPr>
              <w:spacing w:after="160" w:line="259" w:lineRule="auto"/>
              <w:contextualSpacing/>
            </w:pPr>
            <w:r w:rsidRPr="008A7C90">
              <w:t>Intervention or Exposure</w:t>
            </w:r>
          </w:p>
        </w:tc>
        <w:tc>
          <w:tcPr>
            <w:tcW w:w="9261" w:type="dxa"/>
          </w:tcPr>
          <w:p w14:paraId="6E548C79" w14:textId="5FB0B7E9" w:rsidR="00E8348C" w:rsidRPr="008A7C90" w:rsidRDefault="004F3D75" w:rsidP="004B011A">
            <w:pPr>
              <w:contextualSpacing/>
            </w:pPr>
            <w:r>
              <w:t>ECT anesthetics – etomidate versus methohexital</w:t>
            </w:r>
          </w:p>
        </w:tc>
      </w:tr>
      <w:tr w:rsidR="00E8348C" w:rsidRPr="008A7C90" w14:paraId="7840AA83" w14:textId="77777777" w:rsidTr="0038592E">
        <w:trPr>
          <w:trHeight w:val="1061"/>
        </w:trPr>
        <w:tc>
          <w:tcPr>
            <w:tcW w:w="1894" w:type="dxa"/>
          </w:tcPr>
          <w:p w14:paraId="13156944" w14:textId="77777777" w:rsidR="00E8348C" w:rsidRPr="008A7C90" w:rsidRDefault="00E8348C" w:rsidP="004F3D75">
            <w:pPr>
              <w:spacing w:after="160" w:line="259" w:lineRule="auto"/>
              <w:contextualSpacing/>
            </w:pPr>
            <w:r w:rsidRPr="008A7C90">
              <w:t>Outcomes/Key Findings</w:t>
            </w:r>
          </w:p>
        </w:tc>
        <w:tc>
          <w:tcPr>
            <w:tcW w:w="9261" w:type="dxa"/>
          </w:tcPr>
          <w:p w14:paraId="3774006A" w14:textId="451EEA74" w:rsidR="00E8348C" w:rsidRPr="008A7C90" w:rsidRDefault="004F3D75" w:rsidP="19A05A99">
            <w:pPr>
              <w:contextualSpacing/>
            </w:pPr>
            <w:r>
              <w:t xml:space="preserve">There was no significant difference in depression remission as measured by 9-item Patient Health Questionnaire (PHQ9). </w:t>
            </w:r>
            <w:r w:rsidR="00751ED3">
              <w:t>Additionally,</w:t>
            </w:r>
            <w:r>
              <w:t xml:space="preserve"> no significant difference in 12-month post-ECT healthcare utilization, namely emergency department visits and inpatient hospitalizations. Exploratory</w:t>
            </w:r>
            <w:r w:rsidR="00B51620">
              <w:t xml:space="preserve"> subgroup analysis of patients who switched anesthetics during an acute series of ECT showed that etomidate was associated with higher rates of patient discomfort side effects such as post-ictal agitation, phlebitis, and myoclonus.</w:t>
            </w:r>
          </w:p>
        </w:tc>
      </w:tr>
      <w:tr w:rsidR="00E8348C" w:rsidRPr="008A7C90" w14:paraId="1AFEE115" w14:textId="77777777" w:rsidTr="0038592E">
        <w:trPr>
          <w:trHeight w:val="705"/>
        </w:trPr>
        <w:tc>
          <w:tcPr>
            <w:tcW w:w="1894" w:type="dxa"/>
          </w:tcPr>
          <w:p w14:paraId="63DA52C8" w14:textId="77777777" w:rsidR="00E8348C" w:rsidRPr="008A7C90" w:rsidRDefault="00E8348C" w:rsidP="004F3D75">
            <w:pPr>
              <w:spacing w:after="160" w:line="259" w:lineRule="auto"/>
              <w:contextualSpacing/>
            </w:pPr>
            <w:r w:rsidRPr="008A7C90">
              <w:t>Resulting Action/Change</w:t>
            </w:r>
          </w:p>
        </w:tc>
        <w:tc>
          <w:tcPr>
            <w:tcW w:w="9261" w:type="dxa"/>
          </w:tcPr>
          <w:p w14:paraId="49A6B1C6" w14:textId="15054D1A" w:rsidR="00E8348C" w:rsidRPr="008A7C90" w:rsidRDefault="00040F4A">
            <w:pPr>
              <w:contextualSpacing/>
            </w:pPr>
            <w:r>
              <w:t>Methohexital should be the preferred anesthetic agent for ECT given the lower risk of patient discomfort side effects and equivalent efficacy.</w:t>
            </w:r>
          </w:p>
        </w:tc>
      </w:tr>
      <w:tr w:rsidR="00420901" w:rsidRPr="008A7C90" w14:paraId="0143892B" w14:textId="77777777" w:rsidTr="0038592E">
        <w:trPr>
          <w:trHeight w:val="431"/>
        </w:trPr>
        <w:tc>
          <w:tcPr>
            <w:tcW w:w="1894" w:type="dxa"/>
          </w:tcPr>
          <w:p w14:paraId="537F038A" w14:textId="51221B70" w:rsidR="00420901" w:rsidRPr="008A7C90" w:rsidRDefault="00420901" w:rsidP="004F3D75">
            <w:pPr>
              <w:contextualSpacing/>
            </w:pPr>
            <w:r>
              <w:t>Additional Recommendations</w:t>
            </w:r>
          </w:p>
        </w:tc>
        <w:tc>
          <w:tcPr>
            <w:tcW w:w="9261" w:type="dxa"/>
          </w:tcPr>
          <w:p w14:paraId="4AB79E5F" w14:textId="0050DBC4" w:rsidR="00420901" w:rsidRDefault="00040F4A" w:rsidP="00426C21">
            <w:pPr>
              <w:contextualSpacing/>
            </w:pPr>
            <w:r>
              <w:t>If patients receiving etomidate have patient discomfort side effects such as those noted above, physicians now have an evidence</w:t>
            </w:r>
            <w:r w:rsidR="000251A2">
              <w:t>-</w:t>
            </w:r>
            <w:r>
              <w:t>based approach in terms of changing to methohexital.</w:t>
            </w:r>
          </w:p>
        </w:tc>
      </w:tr>
      <w:tr w:rsidR="00E8348C" w:rsidRPr="008A7C90" w14:paraId="5C20182D" w14:textId="77777777" w:rsidTr="0038592E">
        <w:trPr>
          <w:trHeight w:val="431"/>
        </w:trPr>
        <w:tc>
          <w:tcPr>
            <w:tcW w:w="1894" w:type="dxa"/>
          </w:tcPr>
          <w:p w14:paraId="3F0DA88A" w14:textId="77777777" w:rsidR="00E8348C" w:rsidRPr="008A7C90" w:rsidRDefault="00E8348C" w:rsidP="004F3D75">
            <w:pPr>
              <w:spacing w:after="160" w:line="259" w:lineRule="auto"/>
              <w:contextualSpacing/>
            </w:pPr>
            <w:r w:rsidRPr="008A7C90">
              <w:t>Implementation Tools</w:t>
            </w:r>
            <w:r w:rsidRPr="008A7C90">
              <w:tab/>
            </w:r>
          </w:p>
        </w:tc>
        <w:tc>
          <w:tcPr>
            <w:tcW w:w="9261" w:type="dxa"/>
          </w:tcPr>
          <w:p w14:paraId="0A077BAB" w14:textId="696DB681" w:rsidR="00E8348C" w:rsidRPr="008A7C90" w:rsidRDefault="00040F4A" w:rsidP="00426C21">
            <w:pPr>
              <w:contextualSpacing/>
            </w:pPr>
            <w:r>
              <w:t xml:space="preserve">Physician education seminars in </w:t>
            </w:r>
            <w:r w:rsidR="00963D9C">
              <w:t>ECT regional meeting, local physician education on respective ECT treatment sites, manuscript publication, conference presentation at the International Society of ECT and Neuromodulation (ISEN) annual meeting.</w:t>
            </w:r>
          </w:p>
        </w:tc>
      </w:tr>
      <w:tr w:rsidR="00E8348C" w:rsidRPr="008A7C90" w14:paraId="2ACA0AFD" w14:textId="77777777" w:rsidTr="0038592E">
        <w:trPr>
          <w:trHeight w:val="552"/>
        </w:trPr>
        <w:tc>
          <w:tcPr>
            <w:tcW w:w="1894" w:type="dxa"/>
          </w:tcPr>
          <w:p w14:paraId="564C5402" w14:textId="3398FBDC" w:rsidR="00E8348C" w:rsidRPr="008A7C90" w:rsidRDefault="00E8348C" w:rsidP="004F3D75">
            <w:pPr>
              <w:spacing w:after="160" w:line="259" w:lineRule="auto"/>
              <w:contextualSpacing/>
            </w:pPr>
            <w:r w:rsidRPr="008A7C90">
              <w:t>Implementation</w:t>
            </w:r>
            <w:r w:rsidR="007D12B1">
              <w:t xml:space="preserve"> and Follow-up</w:t>
            </w:r>
            <w:r w:rsidRPr="008A7C90">
              <w:t xml:space="preserve"> Measure</w:t>
            </w:r>
            <w:r w:rsidR="007D12B1">
              <w:t>s</w:t>
            </w:r>
          </w:p>
        </w:tc>
        <w:tc>
          <w:tcPr>
            <w:tcW w:w="9261" w:type="dxa"/>
          </w:tcPr>
          <w:p w14:paraId="493FAC83" w14:textId="4349923C" w:rsidR="00E8348C" w:rsidRPr="008A7C90" w:rsidRDefault="0038592E" w:rsidP="00E8348C">
            <w:pPr>
              <w:contextualSpacing/>
            </w:pPr>
            <w:r>
              <w:t>Implementation through change of practice workflow per each ECT treatment site’s discretion. Follow-up will be conducted at the regional ECT meeting through discussion of the practice changes and associated effects.</w:t>
            </w:r>
          </w:p>
        </w:tc>
      </w:tr>
      <w:tr w:rsidR="00E8348C" w:rsidRPr="008A7C90" w14:paraId="088024D0" w14:textId="77777777" w:rsidTr="0038592E">
        <w:trPr>
          <w:trHeight w:val="538"/>
        </w:trPr>
        <w:tc>
          <w:tcPr>
            <w:tcW w:w="1894" w:type="dxa"/>
          </w:tcPr>
          <w:p w14:paraId="6FE7C24E" w14:textId="167543DB" w:rsidR="00E8348C" w:rsidRDefault="00E8348C" w:rsidP="00E8348C">
            <w:pPr>
              <w:contextualSpacing/>
            </w:pPr>
            <w:r>
              <w:t>Reference(s) [Key Figure if applicable]</w:t>
            </w:r>
          </w:p>
          <w:p w14:paraId="241446E1" w14:textId="5EA15FDE" w:rsidR="00E8348C" w:rsidRPr="008A7C90" w:rsidRDefault="00E8348C" w:rsidP="004F3D75">
            <w:pPr>
              <w:spacing w:after="160" w:line="259" w:lineRule="auto"/>
              <w:contextualSpacing/>
            </w:pPr>
          </w:p>
        </w:tc>
        <w:tc>
          <w:tcPr>
            <w:tcW w:w="9261" w:type="dxa"/>
          </w:tcPr>
          <w:p w14:paraId="331EC9E6" w14:textId="77777777" w:rsidR="0038592E" w:rsidRPr="0038592E" w:rsidRDefault="0038592E" w:rsidP="003859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92E">
              <w:rPr>
                <w:rFonts w:ascii="Arial" w:hAnsi="Arial" w:cs="Arial"/>
                <w:b/>
                <w:bCs/>
                <w:sz w:val="20"/>
                <w:szCs w:val="20"/>
              </w:rPr>
              <w:t>TABLE 2. Association Between Anesthetic Type and 12-month Depression Remission </w:t>
            </w:r>
          </w:p>
          <w:p w14:paraId="3F34459C" w14:textId="77777777" w:rsidR="0038592E" w:rsidRPr="0038592E" w:rsidRDefault="0038592E" w:rsidP="0038592E">
            <w:pPr>
              <w:rPr>
                <w:rFonts w:ascii="Arial" w:hAnsi="Arial" w:cs="Arial"/>
                <w:sz w:val="20"/>
                <w:szCs w:val="20"/>
              </w:rPr>
            </w:pPr>
            <w:r w:rsidRPr="0038592E">
              <w:rPr>
                <w:rFonts w:ascii="Arial" w:hAnsi="Arial" w:cs="Arial"/>
                <w:sz w:val="20"/>
                <w:szCs w:val="20"/>
              </w:rPr>
              <w:t> </w:t>
            </w:r>
          </w:p>
          <w:tbl>
            <w:tblPr>
              <w:tblW w:w="93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  <w:gridCol w:w="1305"/>
              <w:gridCol w:w="2595"/>
              <w:gridCol w:w="1035"/>
            </w:tblGrid>
            <w:tr w:rsidR="0038592E" w:rsidRPr="0038592E" w14:paraId="042AA628" w14:textId="77777777" w:rsidTr="0038592E">
              <w:tc>
                <w:tcPr>
                  <w:tcW w:w="441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5F4F55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734BAB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Depression Remission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8592E" w:rsidRPr="0038592E" w14:paraId="263B1303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35077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Predictor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6D917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Odds Ratio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7265AA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95% Confidence Interval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B2DFA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P Value </w:t>
                  </w:r>
                </w:p>
              </w:tc>
            </w:tr>
            <w:tr w:rsidR="0038592E" w:rsidRPr="0038592E" w14:paraId="7291BF09" w14:textId="77777777" w:rsidTr="0038592E">
              <w:tc>
                <w:tcPr>
                  <w:tcW w:w="441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5531E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Etomidate (ref: methohexital) </w:t>
                  </w:r>
                </w:p>
              </w:tc>
              <w:tc>
                <w:tcPr>
                  <w:tcW w:w="130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866A0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0.90 </w:t>
                  </w:r>
                </w:p>
              </w:tc>
              <w:tc>
                <w:tcPr>
                  <w:tcW w:w="259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35DDB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(0.59, 1.37) </w:t>
                  </w:r>
                </w:p>
              </w:tc>
              <w:tc>
                <w:tcPr>
                  <w:tcW w:w="103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86B9C6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0.631 </w:t>
                  </w:r>
                </w:p>
              </w:tc>
            </w:tr>
            <w:tr w:rsidR="0038592E" w:rsidRPr="0038592E" w14:paraId="0C65BF42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C5AC1D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Age, years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CC3665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1.02 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4F84E0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(1.00, 1.04)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A96A7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&lt;.05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8592E" w:rsidRPr="0038592E" w14:paraId="39759BC9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66F5A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Male (ref: female)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6EB0E1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0.67 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85CF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(0.44, 1.02)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62B2E3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0.059 </w:t>
                  </w:r>
                </w:p>
              </w:tc>
            </w:tr>
            <w:tr w:rsidR="0038592E" w:rsidRPr="0038592E" w14:paraId="486DAAA7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FE6486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Non-white (ref: non-Hispanic white)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73B3B0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0.75 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C149EC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(0.47, 1.19)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3D944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0.225 </w:t>
                  </w:r>
                </w:p>
              </w:tc>
            </w:tr>
            <w:tr w:rsidR="0038592E" w:rsidRPr="0038592E" w14:paraId="44D50F81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2389A1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Medicare (ref: no Medicare)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7D356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0.66 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E75CB3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(0.40, 1.09)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00E16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0.106 </w:t>
                  </w:r>
                </w:p>
              </w:tc>
            </w:tr>
            <w:tr w:rsidR="0038592E" w:rsidRPr="0038592E" w14:paraId="732F68E7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C099D6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Psychiatric condition (ref: depressive disorder) 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DA75A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EDFF8A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1541ED3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8592E" w:rsidRPr="0038592E" w14:paraId="425805BE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CD8677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 xml:space="preserve">     Psychotic disorder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0642A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1.42 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38F03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(0.82, 2.46)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F635F9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0.206 </w:t>
                  </w:r>
                </w:p>
              </w:tc>
            </w:tr>
            <w:tr w:rsidR="0038592E" w:rsidRPr="0038592E" w14:paraId="6AE08D2A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E11F9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 xml:space="preserve">     Bipolar disorder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85CE5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1.04 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494A9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(0.65, 1.67)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C0BB5C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0.864 </w:t>
                  </w:r>
                </w:p>
              </w:tc>
            </w:tr>
            <w:tr w:rsidR="0038592E" w:rsidRPr="0038592E" w14:paraId="72A56BCC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3946EC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 xml:space="preserve">     Substance use disorder (ref: no substance use disorder) 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6BBA1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1.30 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CDE0D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(0.79, 2.14)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84B1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0.234 </w:t>
                  </w:r>
                </w:p>
              </w:tc>
            </w:tr>
            <w:tr w:rsidR="0038592E" w:rsidRPr="0038592E" w14:paraId="64BF58B2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256506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Baseline depressive symptoms, PHQ-9 score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A1710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0.91 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799E7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(0.88, 0.94)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8C1FAC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&lt;.001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8592E" w:rsidRPr="0038592E" w14:paraId="58AC1091" w14:textId="77777777" w:rsidTr="0038592E">
              <w:tc>
                <w:tcPr>
                  <w:tcW w:w="4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BBA96C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Charlson comorbidity index 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03742A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1.07 </w:t>
                  </w:r>
                </w:p>
              </w:tc>
              <w:tc>
                <w:tcPr>
                  <w:tcW w:w="2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30421BC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(0.92, 1.26) 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08EFDD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0.384 </w:t>
                  </w:r>
                </w:p>
              </w:tc>
            </w:tr>
          </w:tbl>
          <w:p w14:paraId="5C047C1E" w14:textId="5A8D4F13" w:rsidR="0038592E" w:rsidRDefault="0038592E" w:rsidP="0038592E">
            <w:pPr>
              <w:rPr>
                <w:rFonts w:ascii="Arial" w:hAnsi="Arial" w:cs="Arial"/>
                <w:sz w:val="20"/>
                <w:szCs w:val="20"/>
              </w:rPr>
            </w:pPr>
            <w:r w:rsidRPr="0038592E">
              <w:rPr>
                <w:rFonts w:ascii="Arial" w:hAnsi="Arial" w:cs="Arial"/>
                <w:sz w:val="20"/>
                <w:szCs w:val="20"/>
              </w:rPr>
              <w:lastRenderedPageBreak/>
              <w:t xml:space="preserve">The logistic regression model included N = 495 with follow-up depressive symptom data who did not have an anesthetic change during the treatment course. Among these participants, 197 (39.8%) of patients had depressive symptom remission, defined as PHQ-9 Score &lt; 10. </w:t>
            </w:r>
            <w:r w:rsidRPr="0038592E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14:paraId="7A1F7759" w14:textId="24327D4E" w:rsidR="0038592E" w:rsidRDefault="0038592E" w:rsidP="003859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FDE96F" w14:textId="77777777" w:rsidR="0038592E" w:rsidRPr="0038592E" w:rsidRDefault="0038592E" w:rsidP="003859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A64E3" w14:textId="77777777" w:rsidR="0038592E" w:rsidRPr="0038592E" w:rsidRDefault="0038592E" w:rsidP="003859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592E">
              <w:rPr>
                <w:rFonts w:ascii="Arial" w:hAnsi="Arial" w:cs="Arial"/>
                <w:b/>
                <w:bCs/>
                <w:sz w:val="20"/>
                <w:szCs w:val="20"/>
              </w:rPr>
              <w:t>TABLE 3. Association Between Anesthetic Type and Adverse Events  </w:t>
            </w:r>
          </w:p>
          <w:p w14:paraId="169D3814" w14:textId="77777777" w:rsidR="0038592E" w:rsidRPr="0038592E" w:rsidRDefault="0038592E" w:rsidP="0038592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3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1"/>
              <w:gridCol w:w="62"/>
              <w:gridCol w:w="1052"/>
              <w:gridCol w:w="1309"/>
              <w:gridCol w:w="1227"/>
              <w:gridCol w:w="62"/>
              <w:gridCol w:w="1240"/>
              <w:gridCol w:w="1113"/>
              <w:gridCol w:w="624"/>
            </w:tblGrid>
            <w:tr w:rsidR="0038592E" w:rsidRPr="0038592E" w14:paraId="69D01DC1" w14:textId="77777777" w:rsidTr="0038592E">
              <w:tc>
                <w:tcPr>
                  <w:tcW w:w="26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7D020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EC47BB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588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32CA46B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Unadjusted </w:t>
                  </w:r>
                </w:p>
              </w:tc>
              <w:tc>
                <w:tcPr>
                  <w:tcW w:w="6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0889CB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039AEF0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Adjusted (ref: methohexital)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 a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8592E" w:rsidRPr="0038592E" w14:paraId="77CE3846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701262E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Adverse event, no. (%)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0C6855EA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19B4B55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Etomidate 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449EBC4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Methohexital 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18AAB80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P Value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6863C20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5616A729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Odds </w:t>
                  </w:r>
                  <w:proofErr w:type="spellStart"/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Ratio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a</w:t>
                  </w:r>
                  <w:proofErr w:type="spellEnd"/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3E17A0F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(95% Confidence Interval) 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hideMark/>
                </w:tcPr>
                <w:p w14:paraId="2B87121A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P Value </w:t>
                  </w:r>
                </w:p>
              </w:tc>
            </w:tr>
            <w:tr w:rsidR="0038592E" w:rsidRPr="0038592E" w14:paraId="5B48EE62" w14:textId="77777777" w:rsidTr="0038592E">
              <w:tc>
                <w:tcPr>
                  <w:tcW w:w="267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51C48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Medical complications during ECT treatment, </w:t>
                  </w:r>
                  <w:proofErr w:type="spellStart"/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any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b</w:t>
                  </w:r>
                  <w:proofErr w:type="spellEnd"/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EE171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F873D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2 (0.5) 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81F36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1 (0.0) </w:t>
                  </w:r>
                </w:p>
              </w:tc>
              <w:tc>
                <w:tcPr>
                  <w:tcW w:w="1227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E646606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NA </w:t>
                  </w:r>
                </w:p>
              </w:tc>
              <w:tc>
                <w:tcPr>
                  <w:tcW w:w="6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AAF4A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579A4D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1113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B54F4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62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AE3C3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</w:tr>
            <w:tr w:rsidR="0038592E" w:rsidRPr="0038592E" w14:paraId="7E59B83D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7EE0EBB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Cardiac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B7C95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B3EB4A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2 (0.5)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4566A2C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 (0.0)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33F039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NA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93BD8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DAE9F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44D8CBA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E1CB50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</w:tr>
            <w:tr w:rsidR="0038592E" w:rsidRPr="0038592E" w14:paraId="2DB5529E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2FDEF2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Neurological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2CD644A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C8D6E0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 (0.0)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C217C5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1 (0.0)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16C09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NA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E88EB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B80589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B90069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65172F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</w:tr>
            <w:tr w:rsidR="0038592E" w:rsidRPr="0038592E" w14:paraId="693193F9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02F30D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Other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D729AB3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0A5AE0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 (0.0)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F112233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 (0.0)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59BD1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NA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0B80EE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20447A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EFDBB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CCC6B00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</w:tr>
            <w:tr w:rsidR="0038592E" w:rsidRPr="0038592E" w14:paraId="5BB9AF9B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06A16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6AE67A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318AC0A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8CCDA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BB621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AE796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74199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079AE3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CDE43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8592E" w:rsidRPr="0038592E" w14:paraId="68C37074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D92B70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Mid-course anesthetic </w:t>
                  </w:r>
                  <w:proofErr w:type="spellStart"/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change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c</w:t>
                  </w:r>
                  <w:proofErr w:type="spellEnd"/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0849310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0A88A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26 (6.0)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2A5A13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62 (25.0)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7CE4846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&lt;.001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FB74FD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7EBD9B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0.18 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3C964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(0.11, 0.30)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A5D4F98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&lt;.001</w:t>
                  </w: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38592E" w:rsidRPr="0038592E" w14:paraId="36C800AC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CBE0442" w14:textId="77777777" w:rsidR="0038592E" w:rsidRPr="0038592E" w:rsidRDefault="0038592E" w:rsidP="0038592E">
                  <w:pPr>
                    <w:spacing w:after="0" w:line="240" w:lineRule="auto"/>
                    <w:ind w:left="1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Due to seizure inadequacy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B623F5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68E2886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8 (1.8)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6B5713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52 (21.0)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C4872B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3859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&lt;.001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826E1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C535F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B398D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1FA9F8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</w:tr>
            <w:tr w:rsidR="0038592E" w:rsidRPr="0038592E" w14:paraId="5F622643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1CEAA84" w14:textId="77777777" w:rsidR="0038592E" w:rsidRPr="0038592E" w:rsidRDefault="0038592E" w:rsidP="0038592E">
                  <w:pPr>
                    <w:spacing w:after="0" w:line="240" w:lineRule="auto"/>
                    <w:ind w:left="1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Due to unintentional awareness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070503C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C2F62C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1 (0.2)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56AD0C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4 (1.6)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D901A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1.00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920E11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D69358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368E80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00588E9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</w:tr>
            <w:tr w:rsidR="0038592E" w:rsidRPr="0038592E" w14:paraId="428C5E9F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362CD74" w14:textId="77777777" w:rsidR="0038592E" w:rsidRPr="0038592E" w:rsidRDefault="0038592E" w:rsidP="0038592E">
                  <w:pPr>
                    <w:spacing w:after="0" w:line="240" w:lineRule="auto"/>
                    <w:ind w:left="1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Due to agitation (PIA), phlebitis, or myoclonus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70B150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E4EF93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9 (2.1)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6BAB04E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1 (0.4)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0A829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3859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&lt;.001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53FD389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CA306F7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54EF43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0FADA0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</w:tr>
            <w:tr w:rsidR="0038592E" w:rsidRPr="0038592E" w14:paraId="72A16DF9" w14:textId="77777777" w:rsidTr="0038592E">
              <w:tc>
                <w:tcPr>
                  <w:tcW w:w="26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E16C631" w14:textId="77777777" w:rsidR="0038592E" w:rsidRPr="0038592E" w:rsidRDefault="0038592E" w:rsidP="0038592E">
                  <w:pPr>
                    <w:spacing w:after="0" w:line="240" w:lineRule="auto"/>
                    <w:ind w:left="1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Due to other or unknown reasons 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ABE03C4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6A3585D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8 (1.8) 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13819951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5 (2.0) 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6DE36E5F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38592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&lt;.05</w:t>
                  </w:r>
                </w:p>
              </w:tc>
              <w:tc>
                <w:tcPr>
                  <w:tcW w:w="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490E2A52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F7A76B6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582905AC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8CB845B" w14:textId="77777777" w:rsidR="0038592E" w:rsidRPr="0038592E" w:rsidRDefault="0038592E" w:rsidP="0038592E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592E">
                    <w:rPr>
                      <w:rFonts w:ascii="Arial" w:hAnsi="Arial" w:cs="Arial"/>
                      <w:sz w:val="20"/>
                      <w:szCs w:val="20"/>
                    </w:rPr>
                    <w:t>-- </w:t>
                  </w:r>
                </w:p>
              </w:tc>
            </w:tr>
          </w:tbl>
          <w:p w14:paraId="3604DE45" w14:textId="77777777" w:rsidR="0038592E" w:rsidRPr="0038592E" w:rsidRDefault="0038592E" w:rsidP="003859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8592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proofErr w:type="spellEnd"/>
            <w:proofErr w:type="gramEnd"/>
            <w:r w:rsidRPr="0038592E">
              <w:rPr>
                <w:rFonts w:ascii="Arial" w:hAnsi="Arial" w:cs="Arial"/>
                <w:sz w:val="20"/>
                <w:szCs w:val="20"/>
                <w:vertAlign w:val="superscript"/>
              </w:rPr>
              <w:t> </w:t>
            </w:r>
            <w:r w:rsidRPr="0038592E">
              <w:rPr>
                <w:rFonts w:ascii="Arial" w:hAnsi="Arial" w:cs="Arial"/>
                <w:sz w:val="20"/>
                <w:szCs w:val="20"/>
              </w:rPr>
              <w:t>Adjusted logistic regression models per adverse event outcome adjusted for age, sex, race/ethnicity, Medicare, psychiatric condition, substance use disorder, Charlson comorbidity index, hypertension, cardiovascular disease, lung disease, and diabetes. </w:t>
            </w:r>
            <w:r w:rsidRPr="0038592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r w:rsidRPr="0038592E">
              <w:rPr>
                <w:rFonts w:ascii="Arial" w:hAnsi="Arial" w:cs="Arial"/>
                <w:sz w:val="20"/>
                <w:szCs w:val="20"/>
              </w:rPr>
              <w:t> N = 596 with no anesthetic change during the treatment course. </w:t>
            </w:r>
            <w:r w:rsidRPr="0038592E">
              <w:rPr>
                <w:rFonts w:ascii="Arial" w:hAnsi="Arial" w:cs="Arial"/>
                <w:sz w:val="20"/>
                <w:szCs w:val="20"/>
                <w:vertAlign w:val="superscript"/>
              </w:rPr>
              <w:t>c </w:t>
            </w:r>
            <w:r w:rsidRPr="0038592E">
              <w:rPr>
                <w:rFonts w:ascii="Arial" w:hAnsi="Arial" w:cs="Arial"/>
                <w:sz w:val="20"/>
                <w:szCs w:val="20"/>
              </w:rPr>
              <w:t>Complete cohort (N = 684). </w:t>
            </w:r>
          </w:p>
          <w:p w14:paraId="73CFDDCC" w14:textId="77777777" w:rsidR="0038592E" w:rsidRPr="0038592E" w:rsidRDefault="0038592E" w:rsidP="0038592E">
            <w:pPr>
              <w:spacing w:line="480" w:lineRule="auto"/>
              <w:rPr>
                <w:rFonts w:ascii="Arial" w:hAnsi="Arial" w:cs="Arial"/>
              </w:rPr>
            </w:pPr>
          </w:p>
          <w:p w14:paraId="69E4C5AB" w14:textId="23DC2665" w:rsidR="00E8348C" w:rsidRPr="008A7C90" w:rsidRDefault="00E8348C" w:rsidP="00E8348C">
            <w:pPr>
              <w:contextualSpacing/>
            </w:pPr>
          </w:p>
        </w:tc>
      </w:tr>
      <w:bookmarkEnd w:id="0"/>
    </w:tbl>
    <w:p w14:paraId="241A3A13" w14:textId="77777777" w:rsidR="0038592E" w:rsidRDefault="0038592E" w:rsidP="00B252F7">
      <w:pPr>
        <w:contextualSpacing/>
      </w:pPr>
    </w:p>
    <w:sectPr w:rsidR="0038592E" w:rsidSect="002A5BC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050A" w14:textId="77777777" w:rsidR="000413B5" w:rsidRDefault="000413B5" w:rsidP="00746FF7">
      <w:pPr>
        <w:spacing w:after="0" w:line="240" w:lineRule="auto"/>
      </w:pPr>
      <w:r>
        <w:separator/>
      </w:r>
    </w:p>
  </w:endnote>
  <w:endnote w:type="continuationSeparator" w:id="0">
    <w:p w14:paraId="636CC79F" w14:textId="77777777" w:rsidR="000413B5" w:rsidRDefault="000413B5" w:rsidP="0074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04F4" w14:textId="77777777" w:rsidR="000413B5" w:rsidRDefault="000413B5" w:rsidP="00746FF7">
      <w:pPr>
        <w:spacing w:after="0" w:line="240" w:lineRule="auto"/>
      </w:pPr>
      <w:r>
        <w:separator/>
      </w:r>
    </w:p>
  </w:footnote>
  <w:footnote w:type="continuationSeparator" w:id="0">
    <w:p w14:paraId="2DABD39F" w14:textId="77777777" w:rsidR="000413B5" w:rsidRDefault="000413B5" w:rsidP="00746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1539" w14:textId="672DEB63" w:rsidR="004F3D75" w:rsidRDefault="004F3D75">
    <w:pPr>
      <w:pStyle w:val="Header"/>
    </w:pPr>
    <w:r>
      <w:t>Targeted Analysis Program/Rapid Analytics Unit/Delivery Science Grants Program/Physicians Researcher Program</w:t>
    </w:r>
  </w:p>
  <w:p w14:paraId="6249841E" w14:textId="77777777" w:rsidR="004F3D75" w:rsidRDefault="004F3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43424"/>
    <w:multiLevelType w:val="hybridMultilevel"/>
    <w:tmpl w:val="310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71DF"/>
    <w:multiLevelType w:val="hybridMultilevel"/>
    <w:tmpl w:val="DDB2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C511D"/>
    <w:multiLevelType w:val="hybridMultilevel"/>
    <w:tmpl w:val="1A3001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E5459"/>
    <w:multiLevelType w:val="hybridMultilevel"/>
    <w:tmpl w:val="40C2B5AE"/>
    <w:lvl w:ilvl="0" w:tplc="640A3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F7"/>
    <w:rsid w:val="000251A2"/>
    <w:rsid w:val="00040F4A"/>
    <w:rsid w:val="000413B5"/>
    <w:rsid w:val="00045398"/>
    <w:rsid w:val="00053C62"/>
    <w:rsid w:val="00065EBB"/>
    <w:rsid w:val="000864C8"/>
    <w:rsid w:val="00087854"/>
    <w:rsid w:val="000A63DC"/>
    <w:rsid w:val="000F1293"/>
    <w:rsid w:val="001C45C1"/>
    <w:rsid w:val="001E26D4"/>
    <w:rsid w:val="00221AE7"/>
    <w:rsid w:val="002340B7"/>
    <w:rsid w:val="002A5BC0"/>
    <w:rsid w:val="002A7D72"/>
    <w:rsid w:val="003401B4"/>
    <w:rsid w:val="0037724E"/>
    <w:rsid w:val="0038592E"/>
    <w:rsid w:val="003B445A"/>
    <w:rsid w:val="003C390D"/>
    <w:rsid w:val="003C4176"/>
    <w:rsid w:val="00420901"/>
    <w:rsid w:val="00426C21"/>
    <w:rsid w:val="00457040"/>
    <w:rsid w:val="004657E7"/>
    <w:rsid w:val="004B011A"/>
    <w:rsid w:val="004F3D75"/>
    <w:rsid w:val="004F4119"/>
    <w:rsid w:val="005237FE"/>
    <w:rsid w:val="0056724A"/>
    <w:rsid w:val="005C23F5"/>
    <w:rsid w:val="005D4725"/>
    <w:rsid w:val="006408B8"/>
    <w:rsid w:val="0065193B"/>
    <w:rsid w:val="006721AA"/>
    <w:rsid w:val="006C43BA"/>
    <w:rsid w:val="006F1357"/>
    <w:rsid w:val="006F2ABC"/>
    <w:rsid w:val="00722A5C"/>
    <w:rsid w:val="007423EF"/>
    <w:rsid w:val="00746FF7"/>
    <w:rsid w:val="00751ED3"/>
    <w:rsid w:val="00761249"/>
    <w:rsid w:val="00770FF6"/>
    <w:rsid w:val="007839B0"/>
    <w:rsid w:val="007A75C3"/>
    <w:rsid w:val="007B0951"/>
    <w:rsid w:val="007B14F5"/>
    <w:rsid w:val="007C14EF"/>
    <w:rsid w:val="007D12B1"/>
    <w:rsid w:val="007E046B"/>
    <w:rsid w:val="00810994"/>
    <w:rsid w:val="008412B4"/>
    <w:rsid w:val="008456FE"/>
    <w:rsid w:val="00855FDB"/>
    <w:rsid w:val="00857194"/>
    <w:rsid w:val="00897D81"/>
    <w:rsid w:val="008D7A92"/>
    <w:rsid w:val="00911B48"/>
    <w:rsid w:val="00923CF7"/>
    <w:rsid w:val="00963D9C"/>
    <w:rsid w:val="009921AA"/>
    <w:rsid w:val="009B0454"/>
    <w:rsid w:val="009B3224"/>
    <w:rsid w:val="009B5CAF"/>
    <w:rsid w:val="00A2439B"/>
    <w:rsid w:val="00A44224"/>
    <w:rsid w:val="00A4432B"/>
    <w:rsid w:val="00A81CD3"/>
    <w:rsid w:val="00AA3C84"/>
    <w:rsid w:val="00AB4DC5"/>
    <w:rsid w:val="00AB6D46"/>
    <w:rsid w:val="00B20D35"/>
    <w:rsid w:val="00B252F7"/>
    <w:rsid w:val="00B43FD6"/>
    <w:rsid w:val="00B507D2"/>
    <w:rsid w:val="00B51620"/>
    <w:rsid w:val="00B63A65"/>
    <w:rsid w:val="00B75527"/>
    <w:rsid w:val="00B8332F"/>
    <w:rsid w:val="00B93D88"/>
    <w:rsid w:val="00BD102A"/>
    <w:rsid w:val="00C31A9D"/>
    <w:rsid w:val="00D04977"/>
    <w:rsid w:val="00D068AA"/>
    <w:rsid w:val="00D231B3"/>
    <w:rsid w:val="00D53395"/>
    <w:rsid w:val="00D715C7"/>
    <w:rsid w:val="00D8736D"/>
    <w:rsid w:val="00DB5DB2"/>
    <w:rsid w:val="00DC09C7"/>
    <w:rsid w:val="00E13703"/>
    <w:rsid w:val="00E17E9F"/>
    <w:rsid w:val="00E33E5E"/>
    <w:rsid w:val="00E416F1"/>
    <w:rsid w:val="00E5510B"/>
    <w:rsid w:val="00E82AE0"/>
    <w:rsid w:val="00E8348C"/>
    <w:rsid w:val="00EB0742"/>
    <w:rsid w:val="00EC47D4"/>
    <w:rsid w:val="00EC589C"/>
    <w:rsid w:val="00EE79D6"/>
    <w:rsid w:val="00F02925"/>
    <w:rsid w:val="00F14CD8"/>
    <w:rsid w:val="00F15D26"/>
    <w:rsid w:val="00F2508B"/>
    <w:rsid w:val="00FB2D1C"/>
    <w:rsid w:val="00FC3351"/>
    <w:rsid w:val="00FC6BB1"/>
    <w:rsid w:val="00FE2A37"/>
    <w:rsid w:val="00FE7C31"/>
    <w:rsid w:val="015DB3F4"/>
    <w:rsid w:val="0CEA786C"/>
    <w:rsid w:val="0E161BB7"/>
    <w:rsid w:val="11B4B650"/>
    <w:rsid w:val="19A05A99"/>
    <w:rsid w:val="2DEB92C0"/>
    <w:rsid w:val="3A5C1FB1"/>
    <w:rsid w:val="3EB1D53F"/>
    <w:rsid w:val="43B6323C"/>
    <w:rsid w:val="4601BD2F"/>
    <w:rsid w:val="4604CF8D"/>
    <w:rsid w:val="49E6ABF4"/>
    <w:rsid w:val="50EC7F23"/>
    <w:rsid w:val="5D51DCD4"/>
    <w:rsid w:val="61FBE45A"/>
    <w:rsid w:val="6939CCA6"/>
    <w:rsid w:val="69F48563"/>
    <w:rsid w:val="6C94C136"/>
    <w:rsid w:val="6DEAC877"/>
    <w:rsid w:val="77F4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C909D"/>
  <w15:chartTrackingRefBased/>
  <w15:docId w15:val="{D778A3EF-757F-4382-85DD-645FB9DE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2E"/>
  </w:style>
  <w:style w:type="paragraph" w:styleId="Heading1">
    <w:name w:val="heading 1"/>
    <w:basedOn w:val="Normal"/>
    <w:next w:val="Normal"/>
    <w:link w:val="Heading1Char"/>
    <w:uiPriority w:val="9"/>
    <w:qFormat/>
    <w:rsid w:val="00E834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FF7"/>
  </w:style>
  <w:style w:type="paragraph" w:styleId="Footer">
    <w:name w:val="footer"/>
    <w:basedOn w:val="Normal"/>
    <w:link w:val="FooterChar"/>
    <w:uiPriority w:val="99"/>
    <w:unhideWhenUsed/>
    <w:rsid w:val="00746F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FF7"/>
  </w:style>
  <w:style w:type="character" w:styleId="Hyperlink">
    <w:name w:val="Hyperlink"/>
    <w:basedOn w:val="DefaultParagraphFont"/>
    <w:uiPriority w:val="99"/>
    <w:unhideWhenUsed/>
    <w:rsid w:val="006721A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1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1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65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7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3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70FF6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38592E"/>
  </w:style>
  <w:style w:type="paragraph" w:styleId="NoSpacing">
    <w:name w:val="No Spacing"/>
    <w:uiPriority w:val="1"/>
    <w:qFormat/>
    <w:rsid w:val="0038592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8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592E"/>
    <w:rPr>
      <w:b/>
      <w:bCs/>
    </w:rPr>
  </w:style>
  <w:style w:type="character" w:styleId="Emphasis">
    <w:name w:val="Emphasis"/>
    <w:basedOn w:val="DefaultParagraphFont"/>
    <w:uiPriority w:val="20"/>
    <w:qFormat/>
    <w:rsid w:val="0038592E"/>
    <w:rPr>
      <w:i/>
      <w:iCs/>
    </w:rPr>
  </w:style>
  <w:style w:type="paragraph" w:styleId="Revision">
    <w:name w:val="Revision"/>
    <w:hidden/>
    <w:uiPriority w:val="99"/>
    <w:semiHidden/>
    <w:rsid w:val="003859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A7FAD6358FF44797152258F9FF7A83" ma:contentTypeVersion="1" ma:contentTypeDescription="Create a new document." ma:contentTypeScope="" ma:versionID="fe005cc003bb5b4080769400e5f531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1DA8-BD65-402B-9B39-C6B07AD3ED91}"/>
</file>

<file path=customXml/itemProps2.xml><?xml version="1.0" encoding="utf-8"?>
<ds:datastoreItem xmlns:ds="http://schemas.openxmlformats.org/officeDocument/2006/customXml" ds:itemID="{AF0A6262-C714-4567-A68D-EF6A68FD7142}"/>
</file>

<file path=customXml/itemProps3.xml><?xml version="1.0" encoding="utf-8"?>
<ds:datastoreItem xmlns:ds="http://schemas.openxmlformats.org/officeDocument/2006/customXml" ds:itemID="{9AECFD56-0E48-4D36-9125-ED649ACE52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Cimone E Parker</dc:creator>
  <cp:keywords/>
  <dc:description/>
  <cp:lastModifiedBy>Cimone E Parker</cp:lastModifiedBy>
  <cp:revision>3</cp:revision>
  <dcterms:created xsi:type="dcterms:W3CDTF">2022-03-24T19:29:00Z</dcterms:created>
  <dcterms:modified xsi:type="dcterms:W3CDTF">2022-03-24T19:30:00Z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0x0101000FA7FAD6358FF44797152258F9FF7A83</vt:lpwstr>
  </property>
</Properties>
</file>