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10EA" w14:textId="68130E90" w:rsidR="00245565" w:rsidRPr="00DE70E0" w:rsidRDefault="00245565" w:rsidP="008E6D2C">
      <w:pPr>
        <w:rPr>
          <w:rFonts w:ascii="Calibri" w:eastAsia="Calibri" w:hAnsi="Calibri" w:cs="Calibri"/>
          <w:b/>
          <w:color w:val="4472C4" w:themeColor="accent1"/>
          <w:sz w:val="24"/>
          <w:szCs w:val="24"/>
        </w:rPr>
      </w:pPr>
      <w:r w:rsidRPr="00DE70E0">
        <w:rPr>
          <w:rFonts w:ascii="Calibri" w:eastAsia="Calibri" w:hAnsi="Calibri" w:cs="Calibri"/>
          <w:b/>
          <w:sz w:val="24"/>
          <w:szCs w:val="24"/>
        </w:rPr>
        <w:t>Delivery Science Grants Program</w:t>
      </w:r>
    </w:p>
    <w:p w14:paraId="2E5C52A5" w14:textId="292D27D1" w:rsidR="00A93909" w:rsidRDefault="003D7839" w:rsidP="00D24534">
      <w:pPr>
        <w:spacing w:after="0"/>
        <w:rPr>
          <w:rFonts w:ascii="Calibri" w:eastAsia="Calibri" w:hAnsi="Calibri" w:cs="Calibri"/>
          <w:i/>
          <w:iCs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4472C4" w:themeColor="accent1"/>
          <w:sz w:val="28"/>
          <w:szCs w:val="28"/>
        </w:rPr>
        <w:t>Successful Validation and Implementation</w:t>
      </w:r>
      <w:r w:rsidR="00A93909" w:rsidRPr="00A93909">
        <w:rPr>
          <w:rFonts w:ascii="Calibri" w:eastAsia="Calibri" w:hAnsi="Calibri" w:cs="Calibri"/>
          <w:i/>
          <w:iCs/>
          <w:color w:val="4472C4" w:themeColor="accent1"/>
          <w:sz w:val="28"/>
          <w:szCs w:val="28"/>
        </w:rPr>
        <w:t xml:space="preserve"> of a </w:t>
      </w:r>
      <w:r w:rsidR="00A93909">
        <w:rPr>
          <w:rFonts w:ascii="Calibri" w:eastAsia="Calibri" w:hAnsi="Calibri" w:cs="Calibri"/>
          <w:i/>
          <w:iCs/>
          <w:color w:val="4472C4" w:themeColor="accent1"/>
          <w:sz w:val="28"/>
          <w:szCs w:val="28"/>
        </w:rPr>
        <w:t>0/2-hour</w:t>
      </w:r>
      <w:r w:rsidR="00A93909" w:rsidRPr="00A93909">
        <w:rPr>
          <w:rFonts w:ascii="Calibri" w:eastAsia="Calibri" w:hAnsi="Calibri" w:cs="Calibri"/>
          <w:i/>
          <w:iCs/>
          <w:color w:val="4472C4" w:themeColor="accent1"/>
          <w:sz w:val="28"/>
          <w:szCs w:val="28"/>
        </w:rPr>
        <w:t xml:space="preserve"> </w:t>
      </w:r>
      <w:r w:rsidR="00A93909">
        <w:rPr>
          <w:rFonts w:ascii="Calibri" w:eastAsia="Calibri" w:hAnsi="Calibri" w:cs="Calibri"/>
          <w:i/>
          <w:iCs/>
          <w:color w:val="4472C4" w:themeColor="accent1"/>
          <w:sz w:val="28"/>
          <w:szCs w:val="28"/>
        </w:rPr>
        <w:t xml:space="preserve">High-Sensitivity Troponin </w:t>
      </w:r>
      <w:r w:rsidR="00A93909" w:rsidRPr="00A93909">
        <w:rPr>
          <w:rFonts w:ascii="Calibri" w:eastAsia="Calibri" w:hAnsi="Calibri" w:cs="Calibri"/>
          <w:i/>
          <w:iCs/>
          <w:color w:val="4472C4" w:themeColor="accent1"/>
          <w:sz w:val="28"/>
          <w:szCs w:val="28"/>
        </w:rPr>
        <w:t xml:space="preserve">Algorithm for Emergency Department Patients with Possible Acute Coronary Syndromes </w:t>
      </w:r>
    </w:p>
    <w:p w14:paraId="7D76C285" w14:textId="1FAA8574" w:rsidR="00BA2786" w:rsidRDefault="00A93909" w:rsidP="00D24534">
      <w:pPr>
        <w:spacing w:after="0"/>
      </w:pPr>
      <w:r>
        <w:t>Dustin Mark, MD; Jie Huang, PhD; Keane Lee, MD; Dana Sax, MD, MPH; Dustin Ballard, MD, MBE; David Vinson, MD; Mary Reed, DrPH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09"/>
        <w:gridCol w:w="8796"/>
      </w:tblGrid>
      <w:tr w:rsidR="008E6D2C" w:rsidRPr="008E6D2C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E6D2C" w:rsidRDefault="0048655A" w:rsidP="0048655A">
            <w:pPr>
              <w:spacing w:line="259" w:lineRule="auto"/>
            </w:pPr>
            <w:bookmarkStart w:id="0" w:name="_Hlk54105970"/>
            <w:r w:rsidRPr="008E6D2C">
              <w:t>Challenge</w:t>
            </w:r>
          </w:p>
        </w:tc>
        <w:tc>
          <w:tcPr>
            <w:tcW w:w="8730" w:type="dxa"/>
          </w:tcPr>
          <w:p w14:paraId="7F9273D4" w14:textId="315E0DE2" w:rsidR="0048655A" w:rsidRPr="008E6D2C" w:rsidRDefault="0066666C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In advance of KPNC’s adoption of a high-sensitivity troponin assay</w:t>
            </w:r>
            <w:r w:rsidR="003F09D8">
              <w:rPr>
                <w:b/>
                <w:bCs/>
              </w:rPr>
              <w:t xml:space="preserve"> (Access </w:t>
            </w:r>
            <w:proofErr w:type="spellStart"/>
            <w:r w:rsidR="003F09D8">
              <w:rPr>
                <w:b/>
                <w:bCs/>
              </w:rPr>
              <w:t>hsTnI</w:t>
            </w:r>
            <w:proofErr w:type="spellEnd"/>
            <w:r w:rsidR="003F09D8">
              <w:rPr>
                <w:b/>
                <w:bCs/>
              </w:rPr>
              <w:t>, Beckman-Coulter)</w:t>
            </w:r>
            <w:r>
              <w:rPr>
                <w:b/>
                <w:bCs/>
              </w:rPr>
              <w:t>, w</w:t>
            </w:r>
            <w:r w:rsidR="003D7839" w:rsidRPr="003D7839">
              <w:rPr>
                <w:b/>
                <w:bCs/>
              </w:rPr>
              <w:t xml:space="preserve">e </w:t>
            </w:r>
            <w:r w:rsidR="003D7839">
              <w:rPr>
                <w:b/>
                <w:bCs/>
              </w:rPr>
              <w:t xml:space="preserve">designed </w:t>
            </w:r>
            <w:r w:rsidR="003D7839" w:rsidRPr="003D7839">
              <w:rPr>
                <w:b/>
                <w:bCs/>
              </w:rPr>
              <w:t>a hybrid algorithm</w:t>
            </w:r>
            <w:r>
              <w:rPr>
                <w:b/>
                <w:bCs/>
              </w:rPr>
              <w:t xml:space="preserve"> for the assessment of possible non-ST elevation acute coronary syndrome (KPNC NSTE-ACS algorithm). The KPNC algorithm was informed</w:t>
            </w:r>
            <w:r w:rsidR="003D7839" w:rsidRPr="003D78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by</w:t>
            </w:r>
            <w:r w:rsidR="003D7839" w:rsidRPr="003D7839">
              <w:rPr>
                <w:b/>
                <w:bCs/>
              </w:rPr>
              <w:t xml:space="preserve"> two of the most well-validated </w:t>
            </w:r>
            <w:proofErr w:type="spellStart"/>
            <w:r w:rsidR="003D7839" w:rsidRPr="003D7839">
              <w:rPr>
                <w:b/>
                <w:bCs/>
              </w:rPr>
              <w:t>hsTnI</w:t>
            </w:r>
            <w:proofErr w:type="spellEnd"/>
            <w:r w:rsidR="003D7839" w:rsidRPr="003D7839">
              <w:rPr>
                <w:b/>
                <w:bCs/>
              </w:rPr>
              <w:t xml:space="preserve">-based </w:t>
            </w:r>
            <w:r>
              <w:rPr>
                <w:b/>
                <w:bCs/>
              </w:rPr>
              <w:t>accelerated diagnostic pathways</w:t>
            </w:r>
            <w:r w:rsidR="003D7839" w:rsidRPr="003D7839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0/2- hour </w:t>
            </w:r>
            <w:r w:rsidR="003D7839" w:rsidRPr="003D7839">
              <w:rPr>
                <w:b/>
                <w:bCs/>
              </w:rPr>
              <w:t>European Society of Cardiology and HIGH-STEACS) with the goal of maintaining or improving upon historic practice efficiencies within KPNC</w:t>
            </w:r>
            <w:r w:rsidR="003D7839">
              <w:rPr>
                <w:b/>
                <w:bCs/>
              </w:rPr>
              <w:t xml:space="preserve">. </w:t>
            </w:r>
            <w:r w:rsidR="003D7839" w:rsidRPr="003D78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Though designed using external evidence, the KPNC NSTE-ACS algorithm requires internal validation to assure</w:t>
            </w:r>
            <w:r w:rsidR="003D7839">
              <w:rPr>
                <w:b/>
                <w:bCs/>
              </w:rPr>
              <w:t xml:space="preserve"> safety and efficacy, as well as </w:t>
            </w:r>
            <w:r>
              <w:rPr>
                <w:b/>
                <w:bCs/>
              </w:rPr>
              <w:t xml:space="preserve">an assessment of </w:t>
            </w:r>
            <w:r w:rsidR="003D7839">
              <w:rPr>
                <w:b/>
                <w:bCs/>
              </w:rPr>
              <w:t xml:space="preserve">utilization impact. </w:t>
            </w:r>
            <w:r w:rsidR="003F09D8">
              <w:rPr>
                <w:b/>
                <w:bCs/>
              </w:rPr>
              <w:t xml:space="preserve">In addition, few of the external refences studies were conducted using the Access </w:t>
            </w:r>
            <w:proofErr w:type="spellStart"/>
            <w:r w:rsidR="003F09D8">
              <w:rPr>
                <w:b/>
                <w:bCs/>
              </w:rPr>
              <w:t>hsTnI</w:t>
            </w:r>
            <w:proofErr w:type="spellEnd"/>
            <w:r w:rsidR="003F09D8">
              <w:rPr>
                <w:b/>
                <w:bCs/>
              </w:rPr>
              <w:t xml:space="preserve"> assay, and assay-specific validation and calibration is recommended for all </w:t>
            </w:r>
            <w:proofErr w:type="spellStart"/>
            <w:r w:rsidR="003F09D8">
              <w:rPr>
                <w:b/>
                <w:bCs/>
              </w:rPr>
              <w:t>hsTn</w:t>
            </w:r>
            <w:proofErr w:type="spellEnd"/>
            <w:r w:rsidR="003F09D8">
              <w:rPr>
                <w:b/>
                <w:bCs/>
              </w:rPr>
              <w:t xml:space="preserve">-based algorithms.  </w:t>
            </w:r>
          </w:p>
        </w:tc>
      </w:tr>
      <w:tr w:rsidR="008E6D2C" w:rsidRPr="008E6D2C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E6D2C" w:rsidRDefault="0048655A" w:rsidP="0048655A">
            <w:pPr>
              <w:spacing w:line="259" w:lineRule="auto"/>
            </w:pPr>
            <w:r w:rsidRPr="008E6D2C">
              <w:t>Existing Evidence</w:t>
            </w:r>
          </w:p>
        </w:tc>
        <w:tc>
          <w:tcPr>
            <w:tcW w:w="8730" w:type="dxa"/>
          </w:tcPr>
          <w:p w14:paraId="70041630" w14:textId="375D6D7E" w:rsidR="0048655A" w:rsidRPr="008E6D2C" w:rsidRDefault="0066666C" w:rsidP="0048655A">
            <w:pPr>
              <w:spacing w:line="259" w:lineRule="auto"/>
            </w:pPr>
            <w:r>
              <w:t xml:space="preserve">The HIGH-STEACS pathway, which informed the “rule-out” portion of the KPNC NSTE-ACS algorithm, has been validated outside the US with a negative predictive value for 30-day type 1 myocardial infarction or cardiac death of 99.7%. However, these studies were conducted using the Architect </w:t>
            </w:r>
            <w:proofErr w:type="spellStart"/>
            <w:r>
              <w:t>hsTnI</w:t>
            </w:r>
            <w:proofErr w:type="spellEnd"/>
            <w:r>
              <w:t xml:space="preserve"> assay, which </w:t>
            </w:r>
            <w:r w:rsidR="003F09D8">
              <w:t xml:space="preserve">is not fully interchangeable with the Access </w:t>
            </w:r>
            <w:proofErr w:type="spellStart"/>
            <w:r w:rsidR="003F09D8">
              <w:t>hsTnI</w:t>
            </w:r>
            <w:proofErr w:type="spellEnd"/>
            <w:r w:rsidR="003F09D8">
              <w:t xml:space="preserve"> assay. Likewise, while </w:t>
            </w:r>
            <w:proofErr w:type="spellStart"/>
            <w:r w:rsidR="003F09D8">
              <w:t>cutpoints</w:t>
            </w:r>
            <w:proofErr w:type="spellEnd"/>
            <w:r w:rsidR="003F09D8">
              <w:t xml:space="preserve"> for the Access </w:t>
            </w:r>
            <w:proofErr w:type="spellStart"/>
            <w:r w:rsidR="003F09D8">
              <w:t>hsTnI</w:t>
            </w:r>
            <w:proofErr w:type="spellEnd"/>
            <w:r w:rsidR="003F09D8">
              <w:t xml:space="preserve"> assay have been published for use within the 0/2-hour European Society of Cardiology protocol, these values were derived in retrospect from frozen plasma samples taken from non-US populations and have not been validated in practice. In both cases, US population-specific validation is lacking. </w:t>
            </w:r>
          </w:p>
        </w:tc>
      </w:tr>
      <w:tr w:rsidR="008E6D2C" w:rsidRPr="008E6D2C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E6D2C" w:rsidRDefault="0048655A" w:rsidP="0048655A">
            <w:pPr>
              <w:spacing w:line="259" w:lineRule="auto"/>
            </w:pPr>
            <w:r w:rsidRPr="008E6D2C">
              <w:t>Target Population</w:t>
            </w:r>
          </w:p>
        </w:tc>
        <w:tc>
          <w:tcPr>
            <w:tcW w:w="8730" w:type="dxa"/>
          </w:tcPr>
          <w:p w14:paraId="1486D38C" w14:textId="4D3013BA" w:rsidR="0048655A" w:rsidRPr="008E6D2C" w:rsidRDefault="0066666C" w:rsidP="0048655A">
            <w:pPr>
              <w:spacing w:line="259" w:lineRule="auto"/>
            </w:pPr>
            <w:r>
              <w:t xml:space="preserve">Adult emergency department patients presenting with a complaint of chest pain or discomfort who subsequently underwent </w:t>
            </w:r>
            <w:proofErr w:type="spellStart"/>
            <w:r>
              <w:t>hsTn</w:t>
            </w:r>
            <w:proofErr w:type="spellEnd"/>
            <w:r>
              <w:t xml:space="preserve"> testing. </w:t>
            </w:r>
          </w:p>
        </w:tc>
      </w:tr>
      <w:tr w:rsidR="008E6D2C" w:rsidRPr="008E6D2C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E6D2C" w:rsidRDefault="0048655A" w:rsidP="0048655A">
            <w:pPr>
              <w:spacing w:line="259" w:lineRule="auto"/>
            </w:pPr>
            <w:r w:rsidRPr="008E6D2C">
              <w:t>Intervention or Exposure</w:t>
            </w:r>
          </w:p>
        </w:tc>
        <w:tc>
          <w:tcPr>
            <w:tcW w:w="8730" w:type="dxa"/>
          </w:tcPr>
          <w:p w14:paraId="0CA2C589" w14:textId="0517CB22" w:rsidR="0048655A" w:rsidRPr="008E6D2C" w:rsidRDefault="003F09D8" w:rsidP="0048655A">
            <w:pPr>
              <w:spacing w:line="259" w:lineRule="auto"/>
            </w:pPr>
            <w:r>
              <w:t>I</w:t>
            </w:r>
            <w:r w:rsidR="0066666C">
              <w:t xml:space="preserve">mplementation of the Access </w:t>
            </w:r>
            <w:proofErr w:type="spellStart"/>
            <w:r w:rsidR="0066666C">
              <w:t>hsTnI</w:t>
            </w:r>
            <w:proofErr w:type="spellEnd"/>
            <w:r w:rsidR="0066666C">
              <w:t xml:space="preserve"> assay (Beckman-Coulter)</w:t>
            </w:r>
            <w:r>
              <w:t xml:space="preserve"> and KPNC NSTE-ACS algorithm</w:t>
            </w:r>
          </w:p>
        </w:tc>
      </w:tr>
      <w:tr w:rsidR="008E6D2C" w:rsidRPr="008E6D2C" w14:paraId="13978FD3" w14:textId="77777777" w:rsidTr="00C73A94">
        <w:trPr>
          <w:trHeight w:val="2282"/>
        </w:trPr>
        <w:tc>
          <w:tcPr>
            <w:tcW w:w="1975" w:type="dxa"/>
          </w:tcPr>
          <w:p w14:paraId="7525D5B4" w14:textId="77777777" w:rsidR="0048655A" w:rsidRPr="008E6D2C" w:rsidRDefault="0048655A" w:rsidP="0048655A">
            <w:pPr>
              <w:spacing w:line="259" w:lineRule="auto"/>
              <w:rPr>
                <w:b/>
                <w:bCs/>
              </w:rPr>
            </w:pPr>
            <w:r w:rsidRPr="008E6D2C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55BC4067" w14:textId="77777777" w:rsidR="0048655A" w:rsidRDefault="003F09D8" w:rsidP="00794857">
            <w:r w:rsidRPr="003F09D8">
              <w:rPr>
                <w:b/>
                <w:bCs/>
              </w:rPr>
              <w:t xml:space="preserve">Overall, the KPNC NSTE-ACS algorithm was both safe and efficacious, identifying 70% of encounters as ruled-out (very low or low risk) with a combined </w:t>
            </w:r>
            <w:r>
              <w:rPr>
                <w:b/>
                <w:bCs/>
              </w:rPr>
              <w:t>negative predictive value</w:t>
            </w:r>
            <w:r w:rsidRPr="003F09D8">
              <w:rPr>
                <w:b/>
                <w:bCs/>
              </w:rPr>
              <w:t xml:space="preserve"> of 99.7% for 30-day </w:t>
            </w:r>
            <w:r w:rsidR="00794857">
              <w:rPr>
                <w:b/>
                <w:bCs/>
              </w:rPr>
              <w:t>myocardial infarction</w:t>
            </w:r>
            <w:r w:rsidRPr="003F09D8">
              <w:rPr>
                <w:b/>
                <w:bCs/>
              </w:rPr>
              <w:t xml:space="preserve"> or death (LR- of 0.06) while flagging 7% of encounters as high-risk with a </w:t>
            </w:r>
            <w:r w:rsidR="00794857">
              <w:rPr>
                <w:b/>
                <w:bCs/>
              </w:rPr>
              <w:t>positive predictive value</w:t>
            </w:r>
            <w:r w:rsidRPr="003F09D8">
              <w:rPr>
                <w:b/>
                <w:bCs/>
              </w:rPr>
              <w:t xml:space="preserve"> of 60% (LR+ of 24.3).</w:t>
            </w:r>
            <w:r>
              <w:t xml:space="preserve"> While the </w:t>
            </w:r>
            <w:r w:rsidR="00794857">
              <w:t>negative predictive value</w:t>
            </w:r>
            <w:r>
              <w:t xml:space="preserve"> of a rule-out designation was suboptimal among patients with ischemic </w:t>
            </w:r>
            <w:r w:rsidR="00794857">
              <w:t>coronary artery disease</w:t>
            </w:r>
            <w:r>
              <w:t xml:space="preserve"> or advanced </w:t>
            </w:r>
            <w:r w:rsidR="00794857">
              <w:t>chronic kidney disease</w:t>
            </w:r>
            <w:r>
              <w:t xml:space="preserve"> in particular, “real-world” performance of the algorithm in these clinical subgroups remained acceptable when accounting for realized </w:t>
            </w:r>
            <w:r w:rsidR="00794857">
              <w:t xml:space="preserve">emergency department </w:t>
            </w:r>
            <w:r>
              <w:t xml:space="preserve">discharge dispositions.   </w:t>
            </w:r>
          </w:p>
          <w:p w14:paraId="33A61620" w14:textId="77777777" w:rsidR="00794857" w:rsidRDefault="00794857" w:rsidP="00794857"/>
          <w:p w14:paraId="3CD35CB0" w14:textId="4965128B" w:rsidR="00794857" w:rsidRPr="00794857" w:rsidRDefault="00794857" w:rsidP="00794857">
            <w:r w:rsidRPr="00794857">
              <w:rPr>
                <w:b/>
                <w:bCs/>
              </w:rPr>
              <w:t xml:space="preserve">Compared to the pre-implementation period, utilization in the post-implementation period improved, with a </w:t>
            </w:r>
            <w:r w:rsidR="0092444A">
              <w:rPr>
                <w:b/>
                <w:bCs/>
              </w:rPr>
              <w:t>4</w:t>
            </w:r>
            <w:r w:rsidRPr="00794857">
              <w:rPr>
                <w:b/>
                <w:bCs/>
              </w:rPr>
              <w:t xml:space="preserve">% absolute </w:t>
            </w:r>
            <w:r w:rsidR="0092444A">
              <w:rPr>
                <w:b/>
                <w:bCs/>
              </w:rPr>
              <w:t xml:space="preserve">adjusted </w:t>
            </w:r>
            <w:r w:rsidRPr="00794857">
              <w:rPr>
                <w:b/>
                <w:bCs/>
              </w:rPr>
              <w:t xml:space="preserve">increase in emergency department discharges (75% to </w:t>
            </w:r>
            <w:r w:rsidR="0092444A">
              <w:rPr>
                <w:b/>
                <w:bCs/>
              </w:rPr>
              <w:t>79</w:t>
            </w:r>
            <w:r w:rsidRPr="00794857">
              <w:rPr>
                <w:b/>
                <w:bCs/>
              </w:rPr>
              <w:t xml:space="preserve">%) a 12% </w:t>
            </w:r>
            <w:r w:rsidR="0092444A">
              <w:rPr>
                <w:b/>
                <w:bCs/>
              </w:rPr>
              <w:t xml:space="preserve">adjusted </w:t>
            </w:r>
            <w:r w:rsidRPr="00794857">
              <w:rPr>
                <w:b/>
                <w:bCs/>
              </w:rPr>
              <w:t>decrease in 30-day cardiac testing (3</w:t>
            </w:r>
            <w:r w:rsidR="0092444A">
              <w:rPr>
                <w:b/>
                <w:bCs/>
              </w:rPr>
              <w:t>6</w:t>
            </w:r>
            <w:r w:rsidRPr="00794857">
              <w:rPr>
                <w:b/>
                <w:bCs/>
              </w:rPr>
              <w:t xml:space="preserve">% to </w:t>
            </w:r>
            <w:r w:rsidR="0092444A">
              <w:rPr>
                <w:b/>
                <w:bCs/>
              </w:rPr>
              <w:t>24</w:t>
            </w:r>
            <w:r w:rsidRPr="00794857">
              <w:rPr>
                <w:b/>
                <w:bCs/>
              </w:rPr>
              <w:t xml:space="preserve">%), with no increase in downstream risks of 30-day myocardial infarction or death (6.2% vs 5.6%). </w:t>
            </w:r>
            <w:r>
              <w:t xml:space="preserve">Though </w:t>
            </w:r>
            <w:proofErr w:type="gramStart"/>
            <w:r>
              <w:t>average</w:t>
            </w:r>
            <w:proofErr w:type="gramEnd"/>
            <w:r>
              <w:t xml:space="preserve"> emergency department length of stay increased from 4.5 hours to 5.3 hours (</w:t>
            </w:r>
            <w:proofErr w:type="gramStart"/>
            <w:r>
              <w:t>0.8 hour</w:t>
            </w:r>
            <w:proofErr w:type="gramEnd"/>
            <w:r>
              <w:t xml:space="preserve"> absolute</w:t>
            </w:r>
            <w:r w:rsidR="00FD1F2D">
              <w:t>/18% relative</w:t>
            </w:r>
            <w:r>
              <w:t xml:space="preserve">), this was </w:t>
            </w:r>
            <w:proofErr w:type="gramStart"/>
            <w:r>
              <w:t>a lower</w:t>
            </w:r>
            <w:proofErr w:type="gramEnd"/>
            <w:r>
              <w:t xml:space="preserve"> than the increase observed for all other emergency department patients during the same time periods (3.3 hours to 4.6 hours</w:t>
            </w:r>
            <w:r w:rsidR="00FD1F2D">
              <w:t xml:space="preserve">, </w:t>
            </w:r>
            <w:proofErr w:type="gramStart"/>
            <w:r w:rsidR="00FD1F2D">
              <w:t>1.3 hour</w:t>
            </w:r>
            <w:proofErr w:type="gramEnd"/>
            <w:r w:rsidR="00FD1F2D">
              <w:t xml:space="preserve"> absolute/39% relative</w:t>
            </w:r>
            <w:r>
              <w:t>)</w:t>
            </w:r>
            <w:r w:rsidR="00FD1F2D">
              <w:t xml:space="preserve">. </w:t>
            </w:r>
            <w:proofErr w:type="gramStart"/>
            <w:r w:rsidR="00FD1F2D">
              <w:t>Thus</w:t>
            </w:r>
            <w:proofErr w:type="gramEnd"/>
            <w:r w:rsidR="00FD1F2D">
              <w:t xml:space="preserve"> the observed increases in length of stay were likely driven by external factors (annual ED volume, hospital inpatient capacity) rather than factors intrinsic to the KPNC NSTE-ACS algorithm itself, considering that implementation of similar accelerated evaluation protocols typically results in decreased evaluation times and lower lengths of stay.</w:t>
            </w:r>
          </w:p>
        </w:tc>
      </w:tr>
      <w:tr w:rsidR="008E6D2C" w:rsidRPr="008E6D2C" w14:paraId="62542513" w14:textId="77777777" w:rsidTr="00C73A94">
        <w:trPr>
          <w:trHeight w:val="816"/>
        </w:trPr>
        <w:tc>
          <w:tcPr>
            <w:tcW w:w="1975" w:type="dxa"/>
          </w:tcPr>
          <w:p w14:paraId="38755ADC" w14:textId="77777777" w:rsidR="0048655A" w:rsidRPr="008E6D2C" w:rsidRDefault="0048655A" w:rsidP="0048655A">
            <w:pPr>
              <w:spacing w:line="259" w:lineRule="auto"/>
              <w:rPr>
                <w:b/>
                <w:bCs/>
              </w:rPr>
            </w:pPr>
            <w:r w:rsidRPr="008E6D2C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092B6F29" w14:textId="4658123E" w:rsidR="0048655A" w:rsidRPr="008E6D2C" w:rsidRDefault="005A3A21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Reassurance of key stakeholders regarding the overall safety, efficacy and positive utilization impacts of the KPNC NSTE-ACS algorithm, with emphasis on the added value of clinical judgement, particularly in subgroups with established coronary artery disease or chronic kidney disease. </w:t>
            </w:r>
          </w:p>
        </w:tc>
      </w:tr>
      <w:tr w:rsidR="008E6D2C" w:rsidRPr="008E6D2C" w14:paraId="57800790" w14:textId="77777777" w:rsidTr="00C73A94">
        <w:trPr>
          <w:trHeight w:val="816"/>
        </w:trPr>
        <w:tc>
          <w:tcPr>
            <w:tcW w:w="1975" w:type="dxa"/>
          </w:tcPr>
          <w:p w14:paraId="6C4E04AC" w14:textId="161310DB" w:rsidR="00CB0455" w:rsidRPr="008E6D2C" w:rsidRDefault="00CB0455" w:rsidP="0048655A">
            <w:r w:rsidRPr="008E6D2C">
              <w:t>Additional Recommendations</w:t>
            </w:r>
          </w:p>
        </w:tc>
        <w:tc>
          <w:tcPr>
            <w:tcW w:w="8730" w:type="dxa"/>
          </w:tcPr>
          <w:p w14:paraId="08163871" w14:textId="073883A3" w:rsidR="00CB0455" w:rsidRPr="008E6D2C" w:rsidRDefault="005A3A21" w:rsidP="0048655A">
            <w:r>
              <w:t>Consider adding language to the algorithm concerning “at risk” clinical subgroups, particularly in the low risk strata</w:t>
            </w:r>
            <w:r w:rsidR="00B25BB8">
              <w:t>.</w:t>
            </w:r>
          </w:p>
        </w:tc>
      </w:tr>
      <w:tr w:rsidR="008E6D2C" w:rsidRPr="008E6D2C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E6D2C" w:rsidRDefault="0048655A" w:rsidP="0048655A">
            <w:pPr>
              <w:spacing w:line="259" w:lineRule="auto"/>
            </w:pPr>
            <w:r w:rsidRPr="008E6D2C">
              <w:t>Implementation Tools</w:t>
            </w:r>
            <w:r w:rsidRPr="008E6D2C">
              <w:tab/>
            </w:r>
          </w:p>
        </w:tc>
        <w:tc>
          <w:tcPr>
            <w:tcW w:w="8730" w:type="dxa"/>
          </w:tcPr>
          <w:p w14:paraId="35B5FEA6" w14:textId="20FD52FB" w:rsidR="0048655A" w:rsidRPr="008E6D2C" w:rsidRDefault="005A3A21" w:rsidP="0048655A">
            <w:pPr>
              <w:spacing w:line="259" w:lineRule="auto"/>
            </w:pPr>
            <w:r>
              <w:t>Published KPNC NSTE-ACS algorithm</w:t>
            </w:r>
          </w:p>
        </w:tc>
      </w:tr>
      <w:tr w:rsidR="008E6D2C" w:rsidRPr="008E6D2C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E6D2C" w:rsidRDefault="0048655A" w:rsidP="0048655A">
            <w:pPr>
              <w:spacing w:line="259" w:lineRule="auto"/>
            </w:pPr>
            <w:r w:rsidRPr="008E6D2C">
              <w:t>Implementation Measurement</w:t>
            </w:r>
          </w:p>
        </w:tc>
        <w:tc>
          <w:tcPr>
            <w:tcW w:w="8730" w:type="dxa"/>
          </w:tcPr>
          <w:p w14:paraId="0D25EBD1" w14:textId="67FF54A3" w:rsidR="0048655A" w:rsidRPr="008E6D2C" w:rsidRDefault="00F73D2C" w:rsidP="0048655A">
            <w:pPr>
              <w:spacing w:line="259" w:lineRule="auto"/>
            </w:pPr>
            <w:r>
              <w:t>Dissemination of the algorithm</w:t>
            </w:r>
          </w:p>
        </w:tc>
      </w:tr>
      <w:tr w:rsidR="008E6D2C" w:rsidRPr="008E6D2C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E6D2C" w:rsidRDefault="0048655A" w:rsidP="0048655A">
            <w:pPr>
              <w:spacing w:line="259" w:lineRule="auto"/>
            </w:pPr>
            <w:r w:rsidRPr="008E6D2C">
              <w:t>Reference</w:t>
            </w:r>
          </w:p>
        </w:tc>
        <w:tc>
          <w:tcPr>
            <w:tcW w:w="8730" w:type="dxa"/>
          </w:tcPr>
          <w:p w14:paraId="55731B23" w14:textId="0F02E610" w:rsidR="00F73D2C" w:rsidRDefault="00CC3021" w:rsidP="0048655A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>Summary validation results of the KPNC NSTE-ACS algorithm</w:t>
            </w:r>
          </w:p>
          <w:p w14:paraId="722DE921" w14:textId="5E96ACE1" w:rsidR="0048655A" w:rsidRPr="008E6D2C" w:rsidRDefault="00F73D2C" w:rsidP="0048655A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32F2CA39" wp14:editId="5299E622">
                  <wp:extent cx="5448300" cy="3064668"/>
                  <wp:effectExtent l="0" t="0" r="0" b="2540"/>
                  <wp:docPr id="178462620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62620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052" cy="306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AD3F812" w14:textId="77777777" w:rsidR="00FE6194" w:rsidRDefault="00FE6194"/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16B"/>
    <w:multiLevelType w:val="hybridMultilevel"/>
    <w:tmpl w:val="6C765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D0BEF"/>
    <w:multiLevelType w:val="hybridMultilevel"/>
    <w:tmpl w:val="1F64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55843"/>
    <w:multiLevelType w:val="hybridMultilevel"/>
    <w:tmpl w:val="101A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515550">
    <w:abstractNumId w:val="1"/>
  </w:num>
  <w:num w:numId="2" w16cid:durableId="2129348641">
    <w:abstractNumId w:val="0"/>
  </w:num>
  <w:num w:numId="3" w16cid:durableId="1270506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45099"/>
    <w:rsid w:val="001C654B"/>
    <w:rsid w:val="001D52BB"/>
    <w:rsid w:val="001E348B"/>
    <w:rsid w:val="00245565"/>
    <w:rsid w:val="002A1A00"/>
    <w:rsid w:val="0031051B"/>
    <w:rsid w:val="003D0674"/>
    <w:rsid w:val="003D755D"/>
    <w:rsid w:val="003D7839"/>
    <w:rsid w:val="003E27D1"/>
    <w:rsid w:val="003E34C5"/>
    <w:rsid w:val="003F09D8"/>
    <w:rsid w:val="0048655A"/>
    <w:rsid w:val="00514319"/>
    <w:rsid w:val="00553247"/>
    <w:rsid w:val="0058367E"/>
    <w:rsid w:val="005A3A21"/>
    <w:rsid w:val="005F4817"/>
    <w:rsid w:val="00602CC1"/>
    <w:rsid w:val="0066666C"/>
    <w:rsid w:val="006D32D2"/>
    <w:rsid w:val="0072563B"/>
    <w:rsid w:val="00777238"/>
    <w:rsid w:val="00794857"/>
    <w:rsid w:val="008131C8"/>
    <w:rsid w:val="00837A4C"/>
    <w:rsid w:val="00871F97"/>
    <w:rsid w:val="008A7C90"/>
    <w:rsid w:val="008E6D2C"/>
    <w:rsid w:val="009001F2"/>
    <w:rsid w:val="0092444A"/>
    <w:rsid w:val="00933309"/>
    <w:rsid w:val="00991CD5"/>
    <w:rsid w:val="009A5497"/>
    <w:rsid w:val="009F3D31"/>
    <w:rsid w:val="00A16BB1"/>
    <w:rsid w:val="00A93909"/>
    <w:rsid w:val="00B25BB8"/>
    <w:rsid w:val="00BA2786"/>
    <w:rsid w:val="00C3487D"/>
    <w:rsid w:val="00C4025A"/>
    <w:rsid w:val="00C73A94"/>
    <w:rsid w:val="00CB0455"/>
    <w:rsid w:val="00CC3021"/>
    <w:rsid w:val="00CF4301"/>
    <w:rsid w:val="00D003F1"/>
    <w:rsid w:val="00D24534"/>
    <w:rsid w:val="00D52760"/>
    <w:rsid w:val="00DE70E0"/>
    <w:rsid w:val="00E8740F"/>
    <w:rsid w:val="00EB0401"/>
    <w:rsid w:val="00EF635D"/>
    <w:rsid w:val="00EF6EE1"/>
    <w:rsid w:val="00F73D2C"/>
    <w:rsid w:val="00F91EB4"/>
    <w:rsid w:val="00FD1F2D"/>
    <w:rsid w:val="00FE6194"/>
    <w:rsid w:val="0B4BE6C0"/>
    <w:rsid w:val="1A557A28"/>
    <w:rsid w:val="2850DF87"/>
    <w:rsid w:val="2DE46B7E"/>
    <w:rsid w:val="30BD5087"/>
    <w:rsid w:val="4E551E08"/>
    <w:rsid w:val="5F4FE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FE7261A5-9A61-4A2A-9AF3-EBD9D077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1F9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C6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647ec-f617-4999-8032-1f453e4c2fb5" xsi:nil="true"/>
    <lcf76f155ced4ddcb4097134ff3c332f xmlns="04c69e7e-30dd-4fc4-b8bc-afeef48eb0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12CF887CC049AE0A16A900E750E9" ma:contentTypeVersion="16" ma:contentTypeDescription="Create a new document." ma:contentTypeScope="" ma:versionID="e7820897ed7d53f990ce26ff01c613e4">
  <xsd:schema xmlns:xsd="http://www.w3.org/2001/XMLSchema" xmlns:xs="http://www.w3.org/2001/XMLSchema" xmlns:p="http://schemas.microsoft.com/office/2006/metadata/properties" xmlns:ns2="04c69e7e-30dd-4fc4-b8bc-afeef48eb057" xmlns:ns3="537647ec-f617-4999-8032-1f453e4c2fb5" targetNamespace="http://schemas.microsoft.com/office/2006/metadata/properties" ma:root="true" ma:fieldsID="f03f827e0e1195eccbc7c3aeef81d122" ns2:_="" ns3:_="">
    <xsd:import namespace="04c69e7e-30dd-4fc4-b8bc-afeef48eb057"/>
    <xsd:import namespace="537647ec-f617-4999-8032-1f453e4c2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9e7e-30dd-4fc4-b8bc-afeef48e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47ec-f617-4999-8032-1f453e4c2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ff0bba-50f5-4c0b-b1c3-5fd5d8475422}" ma:internalName="TaxCatchAll" ma:showField="CatchAllData" ma:web="537647ec-f617-4999-8032-1f453e4c2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88A28-5B10-48BE-B8D6-480C75C53C84}">
  <ds:schemaRefs>
    <ds:schemaRef ds:uri="http://schemas.microsoft.com/office/2006/metadata/properties"/>
    <ds:schemaRef ds:uri="http://schemas.microsoft.com/office/infopath/2007/PartnerControls"/>
    <ds:schemaRef ds:uri="537647ec-f617-4999-8032-1f453e4c2fb5"/>
    <ds:schemaRef ds:uri="04c69e7e-30dd-4fc4-b8bc-afeef48eb057"/>
  </ds:schemaRefs>
</ds:datastoreItem>
</file>

<file path=customXml/itemProps2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A4AE8-1289-4991-AB53-5B58D40FA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9e7e-30dd-4fc4-b8bc-afeef48eb057"/>
    <ds:schemaRef ds:uri="537647ec-f617-4999-8032-1f453e4c2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676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Jennifer L Schneider</cp:lastModifiedBy>
  <cp:revision>7</cp:revision>
  <dcterms:created xsi:type="dcterms:W3CDTF">2025-02-12T05:58:00Z</dcterms:created>
  <dcterms:modified xsi:type="dcterms:W3CDTF">2025-05-27T21:36:00Z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0x0101005E2212CF887CC049AE0A16A900E750E9</vt:lpwstr>
  </property>
  <property fmtid="{D5CDD505-2E9C-101B-9397-08002B2CF9AE}" pid="3" name="MediaServiceImageTags">
    <vt:lpwstr/>
  </property>
</Properties>
</file>