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12DC" w14:textId="148ABAAF" w:rsidR="1A557A28" w:rsidRDefault="00397908" w:rsidP="4E551E08">
      <w:pPr>
        <w:rPr>
          <w:rFonts w:ascii="Calibri" w:eastAsia="Calibri" w:hAnsi="Calibri" w:cs="Calibri"/>
          <w:color w:val="4472C4" w:themeColor="accent1"/>
          <w:sz w:val="28"/>
          <w:szCs w:val="28"/>
        </w:rPr>
      </w:pPr>
      <w:r>
        <w:rPr>
          <w:rFonts w:ascii="Calibri" w:eastAsia="Calibri" w:hAnsi="Calibri" w:cs="Calibri"/>
          <w:color w:val="4472C4" w:themeColor="accent1"/>
          <w:sz w:val="28"/>
          <w:szCs w:val="28"/>
        </w:rPr>
        <w:t xml:space="preserve">Emergency physicians increasingly using computed tomography cerebral angiography in place of lumbar puncture for headache evaluations, resulting in increased detection of unruptured intracranial aneurysms. </w:t>
      </w:r>
    </w:p>
    <w:p w14:paraId="7FCD574A" w14:textId="199FD7B3" w:rsidR="008A7C90" w:rsidRDefault="00397908" w:rsidP="00D24534">
      <w:pPr>
        <w:spacing w:after="0"/>
      </w:pPr>
      <w:r>
        <w:t>Dustin Mark, MD; Brandon Horton, MPH; Mary Reed, DrPH</w:t>
      </w:r>
    </w:p>
    <w:tbl>
      <w:tblPr>
        <w:tblStyle w:val="TableGrid"/>
        <w:tblpPr w:leftFromText="180" w:rightFromText="180" w:vertAnchor="page" w:horzAnchor="margin" w:tblpY="2581"/>
        <w:tblW w:w="10705" w:type="dxa"/>
        <w:tblLook w:val="04A0" w:firstRow="1" w:lastRow="0" w:firstColumn="1" w:lastColumn="0" w:noHBand="0" w:noVBand="1"/>
      </w:tblPr>
      <w:tblGrid>
        <w:gridCol w:w="1894"/>
        <w:gridCol w:w="8856"/>
      </w:tblGrid>
      <w:tr w:rsidR="0048655A" w:rsidRPr="008A7C90" w14:paraId="307289BF" w14:textId="77777777" w:rsidTr="00C73A94">
        <w:trPr>
          <w:trHeight w:val="816"/>
        </w:trPr>
        <w:tc>
          <w:tcPr>
            <w:tcW w:w="1975" w:type="dxa"/>
          </w:tcPr>
          <w:p w14:paraId="2C7E2D09" w14:textId="77777777" w:rsidR="0048655A" w:rsidRPr="008A7C90" w:rsidRDefault="0048655A" w:rsidP="0048655A">
            <w:pPr>
              <w:spacing w:line="259" w:lineRule="auto"/>
            </w:pPr>
            <w:bookmarkStart w:id="0" w:name="_Hlk54105970"/>
            <w:r w:rsidRPr="008A7C90">
              <w:t>Challenge</w:t>
            </w:r>
          </w:p>
        </w:tc>
        <w:tc>
          <w:tcPr>
            <w:tcW w:w="8730" w:type="dxa"/>
          </w:tcPr>
          <w:p w14:paraId="7F9273D4" w14:textId="3153010E" w:rsidR="0048655A" w:rsidRPr="0031051B" w:rsidRDefault="00397908" w:rsidP="0048655A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There is ongoing clinical debate over the appropriateness of using computed tomography cerebral angiography (CTCA) as a substitute for lumbar puncture (LP) in the evaluation of headache with clinical concern for subarachnoid hemorrhage (SAH) in the setting of a non-diagnostic head CT. </w:t>
            </w:r>
            <w:proofErr w:type="gramStart"/>
            <w:r>
              <w:rPr>
                <w:b/>
                <w:bCs/>
              </w:rPr>
              <w:t>A majority of</w:t>
            </w:r>
            <w:proofErr w:type="gramEnd"/>
            <w:r>
              <w:rPr>
                <w:b/>
                <w:bCs/>
              </w:rPr>
              <w:t xml:space="preserve"> surveyed US emergency physicians favor the use of CTCA in this scenario, but recently published AHA/ASA clinical guidelines discourage the use of CTCA and strongly recommend LP as the only validated approach. </w:t>
            </w:r>
          </w:p>
        </w:tc>
      </w:tr>
      <w:tr w:rsidR="0048655A" w:rsidRPr="008A7C90" w14:paraId="67D435C8" w14:textId="77777777" w:rsidTr="00C73A94">
        <w:trPr>
          <w:trHeight w:val="1091"/>
        </w:trPr>
        <w:tc>
          <w:tcPr>
            <w:tcW w:w="1975" w:type="dxa"/>
          </w:tcPr>
          <w:p w14:paraId="351B366F" w14:textId="77777777" w:rsidR="0048655A" w:rsidRPr="008A7C90" w:rsidRDefault="0048655A" w:rsidP="0048655A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8730" w:type="dxa"/>
          </w:tcPr>
          <w:p w14:paraId="70041630" w14:textId="5EEBFC5A" w:rsidR="0048655A" w:rsidRPr="008A7C90" w:rsidRDefault="00397908" w:rsidP="0048655A">
            <w:pPr>
              <w:spacing w:line="259" w:lineRule="auto"/>
            </w:pPr>
            <w:r>
              <w:t xml:space="preserve">Aside from indirect data concerning the </w:t>
            </w:r>
            <w:r>
              <w:t>relatively high sensitivity</w:t>
            </w:r>
            <w:r>
              <w:t xml:space="preserve"> of CTCA</w:t>
            </w:r>
            <w:r>
              <w:t xml:space="preserve"> for detection of cerebral aneurysms as compared to invasive cerebral angiography (upwards of 95%), </w:t>
            </w:r>
            <w:r>
              <w:t xml:space="preserve">there is </w:t>
            </w:r>
            <w:r w:rsidR="008933FB">
              <w:t xml:space="preserve">essential </w:t>
            </w:r>
            <w:r>
              <w:t>no data concerning the clinical safety and impact of using CTCA instead of LP in the evaluation of possible SAH</w:t>
            </w:r>
            <w:r w:rsidR="008933FB">
              <w:t xml:space="preserve">, aside from </w:t>
            </w:r>
            <w:r>
              <w:t xml:space="preserve">a </w:t>
            </w:r>
            <w:r w:rsidR="008933FB">
              <w:t>2006 prospective</w:t>
            </w:r>
            <w:r>
              <w:t xml:space="preserve"> study of 105 patients who underwent both CTCA and LP, in which there were two cases of LP+ SAH, both of which </w:t>
            </w:r>
            <w:r w:rsidR="008933FB">
              <w:t xml:space="preserve">had aneurysms detected by </w:t>
            </w:r>
            <w:r>
              <w:t xml:space="preserve">CTCA. </w:t>
            </w:r>
          </w:p>
        </w:tc>
      </w:tr>
      <w:tr w:rsidR="0048655A" w:rsidRPr="008A7C90" w14:paraId="136E6453" w14:textId="77777777" w:rsidTr="00C73A94">
        <w:trPr>
          <w:trHeight w:val="262"/>
        </w:trPr>
        <w:tc>
          <w:tcPr>
            <w:tcW w:w="1975" w:type="dxa"/>
          </w:tcPr>
          <w:p w14:paraId="53202DB8" w14:textId="77777777" w:rsidR="0048655A" w:rsidRPr="008A7C90" w:rsidRDefault="0048655A" w:rsidP="0048655A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8730" w:type="dxa"/>
          </w:tcPr>
          <w:p w14:paraId="1486D38C" w14:textId="0A9C96A6" w:rsidR="0048655A" w:rsidRPr="008A7C90" w:rsidRDefault="008933FB" w:rsidP="0048655A">
            <w:pPr>
              <w:spacing w:line="259" w:lineRule="auto"/>
            </w:pPr>
            <w:r>
              <w:rPr>
                <w:rFonts w:cstheme="minorHAnsi"/>
              </w:rPr>
              <w:t xml:space="preserve">Adult (&gt; 17 years) </w:t>
            </w:r>
            <w:r>
              <w:rPr>
                <w:rFonts w:cstheme="minorHAnsi"/>
              </w:rPr>
              <w:t xml:space="preserve">KPNC </w:t>
            </w:r>
            <w:r>
              <w:rPr>
                <w:rFonts w:cstheme="minorHAnsi"/>
              </w:rPr>
              <w:t>health plan member</w:t>
            </w:r>
            <w:r>
              <w:rPr>
                <w:rFonts w:cstheme="minorHAnsi"/>
              </w:rPr>
              <w:t xml:space="preserve"> emergency department patients </w:t>
            </w:r>
            <w:r>
              <w:rPr>
                <w:rFonts w:cstheme="minorHAnsi"/>
              </w:rPr>
              <w:t>with a chief complaint of headache</w:t>
            </w:r>
            <w:r>
              <w:rPr>
                <w:rFonts w:cstheme="minorHAnsi"/>
              </w:rPr>
              <w:t>, presenting between 2015 and 2021</w:t>
            </w:r>
            <w:r>
              <w:rPr>
                <w:rFonts w:cstheme="minorHAnsi"/>
              </w:rPr>
              <w:t xml:space="preserve">. Exclusions were prior diagnoses of subarachnoid hemorrhage, unruptured intracranial aneurysm, cerebral </w:t>
            </w:r>
            <w:r w:rsidRPr="007A219A">
              <w:rPr>
                <w:rFonts w:cstheme="minorHAnsi"/>
              </w:rPr>
              <w:t>arteriovenous malformation</w:t>
            </w:r>
            <w:r>
              <w:rPr>
                <w:rFonts w:cstheme="minorHAnsi"/>
              </w:rPr>
              <w:t>, or</w:t>
            </w:r>
            <w:r w:rsidRPr="007A219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cerebrospinal fluid</w:t>
            </w:r>
            <w:r w:rsidRPr="007A219A">
              <w:rPr>
                <w:rFonts w:cstheme="minorHAnsi"/>
              </w:rPr>
              <w:t xml:space="preserve"> shunt</w:t>
            </w:r>
            <w:r>
              <w:rPr>
                <w:rFonts w:cstheme="minorHAnsi"/>
              </w:rPr>
              <w:t>.</w:t>
            </w:r>
          </w:p>
        </w:tc>
      </w:tr>
      <w:tr w:rsidR="0048655A" w:rsidRPr="008A7C90" w14:paraId="5B80BED5" w14:textId="77777777" w:rsidTr="00C73A94">
        <w:trPr>
          <w:trHeight w:val="276"/>
        </w:trPr>
        <w:tc>
          <w:tcPr>
            <w:tcW w:w="1975" w:type="dxa"/>
          </w:tcPr>
          <w:p w14:paraId="0D0B7C0D" w14:textId="77777777" w:rsidR="0048655A" w:rsidRPr="008A7C90" w:rsidRDefault="0048655A" w:rsidP="0048655A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8730" w:type="dxa"/>
          </w:tcPr>
          <w:p w14:paraId="0CA2C589" w14:textId="400A61BE" w:rsidR="0048655A" w:rsidRPr="008A7C90" w:rsidRDefault="008933FB" w:rsidP="0048655A">
            <w:pPr>
              <w:spacing w:line="259" w:lineRule="auto"/>
            </w:pPr>
            <w:r>
              <w:rPr>
                <w:rFonts w:cstheme="minorHAnsi"/>
              </w:rPr>
              <w:t>CTCA</w:t>
            </w:r>
            <w:r>
              <w:rPr>
                <w:rFonts w:cstheme="minorHAnsi"/>
              </w:rPr>
              <w:t xml:space="preserve"> and/or </w:t>
            </w:r>
            <w:r>
              <w:rPr>
                <w:rFonts w:cstheme="minorHAnsi"/>
              </w:rPr>
              <w:t>LP</w:t>
            </w:r>
            <w:r>
              <w:rPr>
                <w:rFonts w:cstheme="minorHAnsi"/>
              </w:rPr>
              <w:t xml:space="preserve"> during the ED encounter.</w:t>
            </w:r>
          </w:p>
        </w:tc>
      </w:tr>
      <w:tr w:rsidR="0048655A" w:rsidRPr="008A7C90" w14:paraId="13978FD3" w14:textId="77777777" w:rsidTr="00C73A94">
        <w:trPr>
          <w:trHeight w:val="2282"/>
        </w:trPr>
        <w:tc>
          <w:tcPr>
            <w:tcW w:w="1975" w:type="dxa"/>
          </w:tcPr>
          <w:p w14:paraId="7525D5B4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</w:tcPr>
          <w:p w14:paraId="47DC3286" w14:textId="77777777" w:rsidR="008933FB" w:rsidRDefault="008933FB" w:rsidP="0031051B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Primary and secondary outcomes were 14-day and 90-day unruptured intracranial aneurysm detection, respectively. Safety outcomes were missed diagnoses of subarachnoid hemorrhage or bacterial meningitis. </w:t>
            </w:r>
          </w:p>
          <w:p w14:paraId="248BD43D" w14:textId="77777777" w:rsidR="008933FB" w:rsidRDefault="008933FB" w:rsidP="0031051B">
            <w:pPr>
              <w:spacing w:line="259" w:lineRule="auto"/>
              <w:rPr>
                <w:rFonts w:cstheme="minorHAnsi"/>
              </w:rPr>
            </w:pPr>
          </w:p>
          <w:p w14:paraId="3CD35CB0" w14:textId="1357E947" w:rsidR="0048655A" w:rsidRPr="008A7C90" w:rsidRDefault="008933FB" w:rsidP="0031051B">
            <w:pPr>
              <w:spacing w:line="259" w:lineRule="auto"/>
            </w:pPr>
            <w:r>
              <w:rPr>
                <w:b/>
                <w:bCs/>
              </w:rPr>
              <w:t>There was a six-fold increase in the use of CTCA relative to LP between 2015 and 2021, resulting in a small increase in the detection of unruptured intracranial aneurysms, but no changes in missed diagnoses of SAH or bacterial meningitis</w:t>
            </w:r>
            <w:r w:rsidR="00C73A94">
              <w:rPr>
                <w:b/>
                <w:bCs/>
              </w:rPr>
              <w:t xml:space="preserve">.  </w:t>
            </w:r>
            <w:r>
              <w:rPr>
                <w:rFonts w:cstheme="minorHAnsi"/>
              </w:rPr>
              <w:t xml:space="preserve"> CTCA</w:t>
            </w:r>
            <w:r>
              <w:rPr>
                <w:rFonts w:cstheme="minorHAnsi"/>
              </w:rPr>
              <w:t xml:space="preserve"> use increased</w:t>
            </w:r>
            <w:r>
              <w:rPr>
                <w:rFonts w:cstheme="minorHAnsi"/>
              </w:rPr>
              <w:t xml:space="preserve"> annually</w:t>
            </w:r>
            <w:r>
              <w:rPr>
                <w:rFonts w:cstheme="minorHAnsi"/>
              </w:rPr>
              <w:t xml:space="preserve"> (+18.8%/year, 95% CI +17.7% to + 20.3%) </w:t>
            </w:r>
            <w:r>
              <w:rPr>
                <w:rFonts w:cstheme="minorHAnsi"/>
              </w:rPr>
              <w:t>with corresponding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annual </w:t>
            </w:r>
            <w:r>
              <w:rPr>
                <w:rFonts w:cstheme="minorHAnsi"/>
              </w:rPr>
              <w:t>decrease</w:t>
            </w:r>
            <w:r>
              <w:rPr>
                <w:rFonts w:cstheme="minorHAnsi"/>
              </w:rPr>
              <w:t>s in LP use</w:t>
            </w:r>
            <w:r>
              <w:rPr>
                <w:rFonts w:cstheme="minorHAnsi"/>
              </w:rPr>
              <w:t xml:space="preserve"> (-11.1%/year, 95% CI -12.0% to -10.4%)</w:t>
            </w:r>
            <w:r w:rsidR="00592E8F">
              <w:rPr>
                <w:rFonts w:cstheme="minorHAnsi"/>
              </w:rPr>
              <w:t>. This shift in diagnostic practice was associated with an</w:t>
            </w:r>
            <w:r>
              <w:rPr>
                <w:rFonts w:cstheme="minorHAnsi"/>
              </w:rPr>
              <w:t xml:space="preserve"> increase in </w:t>
            </w:r>
            <w:r w:rsidR="00592E8F">
              <w:rPr>
                <w:rFonts w:cstheme="minorHAnsi"/>
              </w:rPr>
              <w:t>unruptured intracranial aneurysm detection</w:t>
            </w:r>
            <w:r>
              <w:rPr>
                <w:rFonts w:cstheme="minorHAnsi"/>
              </w:rPr>
              <w:t xml:space="preserve"> (+3.5%/year, 95% CI +0.9% to +7.4%)</w:t>
            </w:r>
            <w:r w:rsidR="00592E8F">
              <w:rPr>
                <w:rFonts w:cstheme="minorHAnsi"/>
              </w:rPr>
              <w:t>, though only half of these were documented within the problem list</w:t>
            </w:r>
            <w:r>
              <w:rPr>
                <w:rFonts w:cstheme="minorHAnsi"/>
              </w:rPr>
              <w:t xml:space="preserve">. Subarachnoid hemorrhage (n = 1004) and bacterial meningitis (n = 118) were misdiagnosed in 5% and 18% of cases, respectively, with no annual trends (p = 0.34 and 0.73, respectively). </w:t>
            </w:r>
          </w:p>
        </w:tc>
      </w:tr>
      <w:tr w:rsidR="0048655A" w:rsidRPr="008A7C90" w14:paraId="62542513" w14:textId="77777777" w:rsidTr="00C73A94">
        <w:trPr>
          <w:trHeight w:val="816"/>
        </w:trPr>
        <w:tc>
          <w:tcPr>
            <w:tcW w:w="1975" w:type="dxa"/>
          </w:tcPr>
          <w:p w14:paraId="38755ADC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</w:tcPr>
          <w:p w14:paraId="5BEE5BEB" w14:textId="5A0FEBF5" w:rsidR="0048655A" w:rsidRDefault="00592E8F" w:rsidP="00592E8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 w:rsidRPr="00592E8F">
              <w:rPr>
                <w:b/>
                <w:bCs/>
              </w:rPr>
              <w:t xml:space="preserve">Improve percentage of </w:t>
            </w:r>
            <w:r>
              <w:rPr>
                <w:b/>
                <w:bCs/>
              </w:rPr>
              <w:t>unruptured intracranial aneurysms</w:t>
            </w:r>
            <w:r w:rsidRPr="00592E8F">
              <w:rPr>
                <w:b/>
                <w:bCs/>
              </w:rPr>
              <w:t xml:space="preserve"> noted on problem list</w:t>
            </w:r>
            <w:r>
              <w:rPr>
                <w:b/>
                <w:bCs/>
              </w:rPr>
              <w:t xml:space="preserve">, ideally using a system </w:t>
            </w:r>
            <w:proofErr w:type="gramStart"/>
            <w:r>
              <w:rPr>
                <w:b/>
                <w:bCs/>
              </w:rPr>
              <w:t>similar to</w:t>
            </w:r>
            <w:proofErr w:type="gramEnd"/>
            <w:r>
              <w:rPr>
                <w:b/>
                <w:bCs/>
              </w:rPr>
              <w:t xml:space="preserve"> that used for incidental findings on CT body imaging. </w:t>
            </w:r>
          </w:p>
          <w:p w14:paraId="2FDBF52A" w14:textId="77777777" w:rsidR="00592E8F" w:rsidRDefault="00592E8F" w:rsidP="00592E8F">
            <w:pPr>
              <w:pStyle w:val="ListParagraph"/>
              <w:spacing w:after="160" w:line="259" w:lineRule="auto"/>
              <w:rPr>
                <w:b/>
                <w:bCs/>
              </w:rPr>
            </w:pPr>
          </w:p>
          <w:p w14:paraId="092B6F29" w14:textId="1B4EA43F" w:rsidR="00592E8F" w:rsidRPr="00592E8F" w:rsidRDefault="00592E8F" w:rsidP="00592E8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 w:rsidRPr="00592E8F">
              <w:rPr>
                <w:b/>
                <w:bCs/>
              </w:rPr>
              <w:t>Ensure appropriate use of second-line testing</w:t>
            </w:r>
            <w:r>
              <w:rPr>
                <w:b/>
                <w:bCs/>
              </w:rPr>
              <w:t xml:space="preserve"> (</w:t>
            </w:r>
            <w:proofErr w:type="gramStart"/>
            <w:r>
              <w:rPr>
                <w:b/>
                <w:bCs/>
              </w:rPr>
              <w:t>i.e.</w:t>
            </w:r>
            <w:proofErr w:type="gramEnd"/>
            <w:r>
              <w:rPr>
                <w:b/>
                <w:bCs/>
              </w:rPr>
              <w:t xml:space="preserve"> CTCA or LP)</w:t>
            </w:r>
            <w:r>
              <w:rPr>
                <w:b/>
                <w:bCs/>
              </w:rPr>
              <w:t xml:space="preserve"> for SAH</w:t>
            </w:r>
            <w:r>
              <w:rPr>
                <w:b/>
                <w:bCs/>
              </w:rPr>
              <w:t>. This will require regional guideline development and would benefit from point-of-care clinical decision support.</w:t>
            </w:r>
          </w:p>
        </w:tc>
      </w:tr>
      <w:tr w:rsidR="00CB0455" w:rsidRPr="008A7C90" w14:paraId="57800790" w14:textId="77777777" w:rsidTr="00C73A94">
        <w:trPr>
          <w:trHeight w:val="816"/>
        </w:trPr>
        <w:tc>
          <w:tcPr>
            <w:tcW w:w="1975" w:type="dxa"/>
          </w:tcPr>
          <w:p w14:paraId="6C4E04AC" w14:textId="161310DB" w:rsidR="00CB0455" w:rsidRPr="00EB0401" w:rsidRDefault="00CB0455" w:rsidP="0048655A">
            <w:r w:rsidRPr="00EB0401">
              <w:t>Additional Recommendations</w:t>
            </w:r>
          </w:p>
        </w:tc>
        <w:tc>
          <w:tcPr>
            <w:tcW w:w="8730" w:type="dxa"/>
          </w:tcPr>
          <w:p w14:paraId="595AB8FB" w14:textId="76FD2FFA" w:rsidR="00592E8F" w:rsidRPr="00592E8F" w:rsidRDefault="00592E8F" w:rsidP="00592E8F">
            <w:pPr>
              <w:pStyle w:val="ListParagraph"/>
              <w:numPr>
                <w:ilvl w:val="2"/>
                <w:numId w:val="5"/>
              </w:numPr>
              <w:spacing w:after="0" w:line="240" w:lineRule="auto"/>
            </w:pPr>
            <w:r w:rsidRPr="00592E8F">
              <w:t>Implement</w:t>
            </w:r>
            <w:r>
              <w:t xml:space="preserve"> and endorse</w:t>
            </w:r>
            <w:r w:rsidRPr="00592E8F">
              <w:t xml:space="preserve"> validated clinical tools (Ottawa SAH rules)</w:t>
            </w:r>
          </w:p>
          <w:p w14:paraId="08163871" w14:textId="4BEB6E33" w:rsidR="00CB0455" w:rsidRPr="00EB0401" w:rsidRDefault="003906C1" w:rsidP="0048655A">
            <w:pPr>
              <w:numPr>
                <w:ilvl w:val="2"/>
                <w:numId w:val="5"/>
              </w:numPr>
              <w:tabs>
                <w:tab w:val="num" w:pos="2160"/>
              </w:tabs>
            </w:pPr>
            <w:r>
              <w:t xml:space="preserve">Create </w:t>
            </w:r>
            <w:r w:rsidR="00592E8F">
              <w:t>p</w:t>
            </w:r>
            <w:r w:rsidR="00592E8F" w:rsidRPr="00592E8F">
              <w:t>rospective data collection</w:t>
            </w:r>
            <w:r>
              <w:t xml:space="preserve"> mechanisms</w:t>
            </w:r>
            <w:r w:rsidR="00592E8F" w:rsidRPr="00592E8F">
              <w:t xml:space="preserve"> for internal validation and refinement</w:t>
            </w:r>
            <w:r w:rsidR="00592E8F">
              <w:t xml:space="preserve"> of guidelines.</w:t>
            </w:r>
          </w:p>
        </w:tc>
      </w:tr>
      <w:tr w:rsidR="0048655A" w:rsidRPr="008A7C90" w14:paraId="21F6FB6D" w14:textId="77777777" w:rsidTr="00C73A94">
        <w:trPr>
          <w:trHeight w:val="552"/>
        </w:trPr>
        <w:tc>
          <w:tcPr>
            <w:tcW w:w="1975" w:type="dxa"/>
          </w:tcPr>
          <w:p w14:paraId="511F380C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8730" w:type="dxa"/>
          </w:tcPr>
          <w:p w14:paraId="0193A28E" w14:textId="5419E522" w:rsidR="00592E8F" w:rsidRDefault="00592E8F" w:rsidP="00592E8F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  <w:r w:rsidRPr="00592E8F">
              <w:t xml:space="preserve">hiefs of neurosurgery, neuroradiology, </w:t>
            </w:r>
            <w:r>
              <w:t xml:space="preserve">and </w:t>
            </w:r>
            <w:r w:rsidRPr="00592E8F">
              <w:t>emergency medicine</w:t>
            </w:r>
            <w:r>
              <w:t xml:space="preserve">; </w:t>
            </w:r>
            <w:r w:rsidRPr="00592E8F">
              <w:t>IMAGAC committee</w:t>
            </w:r>
          </w:p>
          <w:p w14:paraId="35B5FEA6" w14:textId="500F9CC9" w:rsidR="0048655A" w:rsidRPr="008A7C90" w:rsidRDefault="00592E8F" w:rsidP="0048655A">
            <w:pPr>
              <w:pStyle w:val="ListParagraph"/>
              <w:numPr>
                <w:ilvl w:val="0"/>
                <w:numId w:val="8"/>
              </w:numPr>
              <w:spacing w:line="259" w:lineRule="auto"/>
            </w:pPr>
            <w:r>
              <w:lastRenderedPageBreak/>
              <w:t>Future development of RISTRA clinical decision support module</w:t>
            </w:r>
            <w:r w:rsidR="003906C1">
              <w:t xml:space="preserve"> for headache diagnostics and management.</w:t>
            </w:r>
          </w:p>
        </w:tc>
      </w:tr>
      <w:tr w:rsidR="0048655A" w:rsidRPr="008A7C90" w14:paraId="02D4678D" w14:textId="77777777" w:rsidTr="00C73A94">
        <w:trPr>
          <w:trHeight w:val="552"/>
        </w:trPr>
        <w:tc>
          <w:tcPr>
            <w:tcW w:w="1975" w:type="dxa"/>
          </w:tcPr>
          <w:p w14:paraId="1B184543" w14:textId="77777777" w:rsidR="0048655A" w:rsidRPr="008A7C90" w:rsidRDefault="0048655A" w:rsidP="0048655A">
            <w:pPr>
              <w:spacing w:line="259" w:lineRule="auto"/>
            </w:pPr>
            <w:r w:rsidRPr="008A7C90">
              <w:lastRenderedPageBreak/>
              <w:t>Implementation Measurement</w:t>
            </w:r>
          </w:p>
        </w:tc>
        <w:tc>
          <w:tcPr>
            <w:tcW w:w="8730" w:type="dxa"/>
          </w:tcPr>
          <w:p w14:paraId="128B0177" w14:textId="364FC0D9" w:rsidR="00592E8F" w:rsidRDefault="00592E8F" w:rsidP="00592E8F">
            <w:pPr>
              <w:pStyle w:val="ListParagraph"/>
              <w:numPr>
                <w:ilvl w:val="0"/>
                <w:numId w:val="7"/>
              </w:numPr>
            </w:pPr>
            <w:r>
              <w:t>Proportion of unruptured intracranial aneurysms reported on CTCA (as determined by natural language processing algorithm developed in this study) ultimately documented on the problem list.</w:t>
            </w:r>
          </w:p>
          <w:p w14:paraId="240C1AE0" w14:textId="40D6C834" w:rsidR="00592E8F" w:rsidRDefault="00592E8F" w:rsidP="00592E8F">
            <w:pPr>
              <w:pStyle w:val="ListParagraph"/>
              <w:numPr>
                <w:ilvl w:val="0"/>
                <w:numId w:val="7"/>
              </w:numPr>
            </w:pPr>
            <w:r>
              <w:t>Proportion of</w:t>
            </w:r>
            <w:r w:rsidR="003906C1">
              <w:t xml:space="preserve"> detected</w:t>
            </w:r>
            <w:r>
              <w:t xml:space="preserve"> </w:t>
            </w:r>
            <w:r w:rsidR="003906C1">
              <w:t xml:space="preserve">unruptured </w:t>
            </w:r>
            <w:r>
              <w:t>intracranial aneurysms with follow-up recommended</w:t>
            </w:r>
            <w:r w:rsidR="003906C1">
              <w:t xml:space="preserve"> imaging studies within 2 years</w:t>
            </w:r>
            <w:r>
              <w:t>, as per</w:t>
            </w:r>
            <w:r w:rsidR="003906C1">
              <w:t xml:space="preserve"> existing</w:t>
            </w:r>
            <w:r>
              <w:t xml:space="preserve"> </w:t>
            </w:r>
            <w:r w:rsidR="003906C1">
              <w:t xml:space="preserve">regional guidelines. </w:t>
            </w:r>
          </w:p>
          <w:p w14:paraId="0D25EBD1" w14:textId="0A918C38" w:rsidR="003906C1" w:rsidRPr="008A7C90" w:rsidRDefault="003906C1" w:rsidP="00592E8F">
            <w:pPr>
              <w:pStyle w:val="ListParagraph"/>
              <w:numPr>
                <w:ilvl w:val="0"/>
                <w:numId w:val="7"/>
              </w:numPr>
            </w:pPr>
            <w:r>
              <w:t>Annual tracking of CTCA use among emergency department adults with headache.</w:t>
            </w:r>
          </w:p>
        </w:tc>
      </w:tr>
      <w:tr w:rsidR="0048655A" w:rsidRPr="008A7C90" w14:paraId="66558595" w14:textId="77777777" w:rsidTr="00C73A94">
        <w:trPr>
          <w:trHeight w:val="538"/>
        </w:trPr>
        <w:tc>
          <w:tcPr>
            <w:tcW w:w="1975" w:type="dxa"/>
          </w:tcPr>
          <w:p w14:paraId="29954FA9" w14:textId="77777777" w:rsidR="0048655A" w:rsidRPr="008A7C90" w:rsidRDefault="0048655A" w:rsidP="0048655A">
            <w:pPr>
              <w:spacing w:line="259" w:lineRule="auto"/>
            </w:pPr>
            <w:r w:rsidRPr="008A7C90">
              <w:t>Reference</w:t>
            </w:r>
          </w:p>
        </w:tc>
        <w:tc>
          <w:tcPr>
            <w:tcW w:w="8730" w:type="dxa"/>
          </w:tcPr>
          <w:p w14:paraId="722DE921" w14:textId="62272C52" w:rsidR="0048655A" w:rsidRPr="008A7C90" w:rsidRDefault="003906C1" w:rsidP="0048655A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13DC2148" wp14:editId="0A22E6C5">
                  <wp:extent cx="5480612" cy="3288063"/>
                  <wp:effectExtent l="0" t="0" r="6350" b="7620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0B79A5-2DAB-4395-AEBB-9288565FA9E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="0048655A" w:rsidRPr="008A7C90">
              <w:t xml:space="preserve"> </w:t>
            </w:r>
          </w:p>
        </w:tc>
      </w:tr>
      <w:bookmarkEnd w:id="0"/>
    </w:tbl>
    <w:p w14:paraId="6DE3B9F5" w14:textId="77777777" w:rsidR="003906C1" w:rsidRDefault="003906C1" w:rsidP="00C73A94">
      <w:pPr>
        <w:spacing w:after="0"/>
      </w:pPr>
    </w:p>
    <w:sectPr w:rsidR="003906C1" w:rsidSect="00D24534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E3DA" w14:textId="77777777" w:rsidR="00BB559D" w:rsidRDefault="00BB559D" w:rsidP="00BB559D">
      <w:pPr>
        <w:spacing w:after="0" w:line="240" w:lineRule="auto"/>
      </w:pPr>
      <w:r>
        <w:separator/>
      </w:r>
    </w:p>
  </w:endnote>
  <w:endnote w:type="continuationSeparator" w:id="0">
    <w:p w14:paraId="75E54C24" w14:textId="77777777" w:rsidR="00BB559D" w:rsidRDefault="00BB559D" w:rsidP="00BB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C8309" w14:textId="77777777" w:rsidR="00BB559D" w:rsidRDefault="00BB559D" w:rsidP="00BB559D">
      <w:pPr>
        <w:spacing w:after="0" w:line="240" w:lineRule="auto"/>
      </w:pPr>
      <w:r>
        <w:separator/>
      </w:r>
    </w:p>
  </w:footnote>
  <w:footnote w:type="continuationSeparator" w:id="0">
    <w:p w14:paraId="3B487B79" w14:textId="77777777" w:rsidR="00BB559D" w:rsidRDefault="00BB559D" w:rsidP="00BB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B553" w14:textId="5055B3BA" w:rsidR="00BB559D" w:rsidRPr="002B4A88" w:rsidRDefault="00AC6E65" w:rsidP="002B4A88">
    <w:pPr>
      <w:spacing w:after="0" w:line="240" w:lineRule="auto"/>
      <w:rPr>
        <w:rFonts w:ascii="Arial" w:hAnsi="Arial" w:cs="Arial"/>
        <w:bCs/>
      </w:rPr>
    </w:pPr>
    <w:r>
      <w:rPr>
        <w:rFonts w:ascii="Arial" w:hAnsi="Arial" w:cs="Arial"/>
        <w:bCs/>
      </w:rPr>
      <w:t>Rapid Analytics Unit</w:t>
    </w:r>
    <w:r w:rsidR="00BB559D" w:rsidRPr="00142C37">
      <w:rPr>
        <w:rFonts w:ascii="Arial" w:hAnsi="Arial" w:cs="Arial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10D9"/>
    <w:multiLevelType w:val="hybridMultilevel"/>
    <w:tmpl w:val="7700D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1671"/>
    <w:multiLevelType w:val="hybridMultilevel"/>
    <w:tmpl w:val="79FA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E2147"/>
    <w:multiLevelType w:val="hybridMultilevel"/>
    <w:tmpl w:val="EA2AFC6C"/>
    <w:lvl w:ilvl="0" w:tplc="CB2AB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E40AE08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4AC4D39A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asciiTheme="minorHAnsi" w:eastAsiaTheme="minorHAnsi" w:hAnsiTheme="minorHAnsi" w:cstheme="minorBidi"/>
      </w:rPr>
    </w:lvl>
    <w:lvl w:ilvl="3" w:tplc="93E8CC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4C92F9C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ECE243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CF6CE5D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036A551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D360B2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3" w15:restartNumberingAfterBreak="0">
    <w:nsid w:val="45C253D1"/>
    <w:multiLevelType w:val="hybridMultilevel"/>
    <w:tmpl w:val="7700D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B2361"/>
    <w:multiLevelType w:val="hybridMultilevel"/>
    <w:tmpl w:val="171ABA18"/>
    <w:lvl w:ilvl="0" w:tplc="D76E2C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13DC24B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F7F4EA6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735CF5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3140C3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92A66D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E684D3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22DCD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7F92AA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5" w15:restartNumberingAfterBreak="0">
    <w:nsid w:val="599446CE"/>
    <w:multiLevelType w:val="hybridMultilevel"/>
    <w:tmpl w:val="32B82448"/>
    <w:lvl w:ilvl="0" w:tplc="62AE3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607198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2E4ED5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CCE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6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BE2D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964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FAD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2ACC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FA746DD"/>
    <w:multiLevelType w:val="hybridMultilevel"/>
    <w:tmpl w:val="861C719C"/>
    <w:lvl w:ilvl="0" w:tplc="053C1C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2F28969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9A6ED6D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235CCF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B41E6B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1F8A77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9A58AD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AFC6B0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6FCA15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7" w15:restartNumberingAfterBreak="0">
    <w:nsid w:val="73957CCB"/>
    <w:multiLevelType w:val="hybridMultilevel"/>
    <w:tmpl w:val="41388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298522">
    <w:abstractNumId w:val="3"/>
  </w:num>
  <w:num w:numId="2" w16cid:durableId="1828550524">
    <w:abstractNumId w:val="6"/>
  </w:num>
  <w:num w:numId="3" w16cid:durableId="1987469281">
    <w:abstractNumId w:val="4"/>
  </w:num>
  <w:num w:numId="4" w16cid:durableId="235014170">
    <w:abstractNumId w:val="0"/>
  </w:num>
  <w:num w:numId="5" w16cid:durableId="711073189">
    <w:abstractNumId w:val="2"/>
  </w:num>
  <w:num w:numId="6" w16cid:durableId="1529560659">
    <w:abstractNumId w:val="5"/>
  </w:num>
  <w:num w:numId="7" w16cid:durableId="1456867475">
    <w:abstractNumId w:val="7"/>
  </w:num>
  <w:num w:numId="8" w16cid:durableId="352389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811DB"/>
    <w:rsid w:val="001D52BB"/>
    <w:rsid w:val="001E348B"/>
    <w:rsid w:val="002A1A00"/>
    <w:rsid w:val="002B4A88"/>
    <w:rsid w:val="0031051B"/>
    <w:rsid w:val="003906C1"/>
    <w:rsid w:val="00397908"/>
    <w:rsid w:val="003D755D"/>
    <w:rsid w:val="003E27D1"/>
    <w:rsid w:val="003E34C5"/>
    <w:rsid w:val="0048655A"/>
    <w:rsid w:val="00514319"/>
    <w:rsid w:val="00592E8F"/>
    <w:rsid w:val="006D32D2"/>
    <w:rsid w:val="0072563B"/>
    <w:rsid w:val="00777238"/>
    <w:rsid w:val="008131C8"/>
    <w:rsid w:val="008933FB"/>
    <w:rsid w:val="008A7C90"/>
    <w:rsid w:val="009001F2"/>
    <w:rsid w:val="00933309"/>
    <w:rsid w:val="00A16BB1"/>
    <w:rsid w:val="00AC6E65"/>
    <w:rsid w:val="00BB559D"/>
    <w:rsid w:val="00C3487D"/>
    <w:rsid w:val="00C4025A"/>
    <w:rsid w:val="00C73A94"/>
    <w:rsid w:val="00CB0455"/>
    <w:rsid w:val="00CF4301"/>
    <w:rsid w:val="00D003F1"/>
    <w:rsid w:val="00D24534"/>
    <w:rsid w:val="00EB0401"/>
    <w:rsid w:val="00EF635D"/>
    <w:rsid w:val="00FE6194"/>
    <w:rsid w:val="0B4BE6C0"/>
    <w:rsid w:val="1A557A28"/>
    <w:rsid w:val="30BD5087"/>
    <w:rsid w:val="4E5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5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59D"/>
  </w:style>
  <w:style w:type="paragraph" w:styleId="Footer">
    <w:name w:val="footer"/>
    <w:basedOn w:val="Normal"/>
    <w:link w:val="FooterChar"/>
    <w:uiPriority w:val="99"/>
    <w:unhideWhenUsed/>
    <w:rsid w:val="00BB5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59D"/>
  </w:style>
  <w:style w:type="paragraph" w:styleId="ListParagraph">
    <w:name w:val="List Paragraph"/>
    <w:basedOn w:val="Normal"/>
    <w:uiPriority w:val="34"/>
    <w:qFormat/>
    <w:rsid w:val="00592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859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92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422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631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0636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s.msds.kp.org\NCAL\EBA\Userdir14\I925751\SAH%20study\RAU%202022\Writing\graphs%20rau%20sah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75221897537979"/>
          <c:y val="8.1994037153122853E-2"/>
          <c:w val="0.69917556865920805"/>
          <c:h val="0.76059402600381898"/>
        </c:manualLayout>
      </c:layout>
      <c:lineChart>
        <c:grouping val="standard"/>
        <c:varyColors val="0"/>
        <c:ser>
          <c:idx val="0"/>
          <c:order val="1"/>
          <c:tx>
            <c:strRef>
              <c:f>Sheet1!$A$4</c:f>
              <c:strCache>
                <c:ptCount val="1"/>
                <c:pt idx="0">
                  <c:v>LP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Sheet1!$J$16:$P$16</c:f>
                <c:numCache>
                  <c:formatCode>General</c:formatCode>
                  <c:ptCount val="7"/>
                  <c:pt idx="0">
                    <c:v>7.1844999999999999</c:v>
                  </c:pt>
                  <c:pt idx="1">
                    <c:v>6.4393999999999982</c:v>
                  </c:pt>
                  <c:pt idx="2">
                    <c:v>5.7088000000000001</c:v>
                  </c:pt>
                  <c:pt idx="3">
                    <c:v>5.1567999999999889</c:v>
                  </c:pt>
                  <c:pt idx="4">
                    <c:v>4.5446999999999989</c:v>
                  </c:pt>
                  <c:pt idx="5">
                    <c:v>4.6642000000000001</c:v>
                  </c:pt>
                  <c:pt idx="6">
                    <c:v>3.8066000000000004</c:v>
                  </c:pt>
                </c:numCache>
              </c:numRef>
            </c:plus>
            <c:minus>
              <c:numRef>
                <c:f>Sheet1!$J$15:$P$15</c:f>
                <c:numCache>
                  <c:formatCode>General</c:formatCode>
                  <c:ptCount val="7"/>
                  <c:pt idx="0">
                    <c:v>6.8417000000000066</c:v>
                  </c:pt>
                  <c:pt idx="1">
                    <c:v>6.1065000000000005</c:v>
                  </c:pt>
                  <c:pt idx="2">
                    <c:v>5.3937999999999899</c:v>
                  </c:pt>
                  <c:pt idx="3">
                    <c:v>4.8609000000000009</c:v>
                  </c:pt>
                  <c:pt idx="4">
                    <c:v>4.2688999999999995</c:v>
                  </c:pt>
                  <c:pt idx="5">
                    <c:v>4.3185000000000029</c:v>
                  </c:pt>
                  <c:pt idx="6">
                    <c:v>3.5217000000000027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Sheet1!$B$1:$H$1</c:f>
              <c:strCache>
                <c:ptCount val="7"/>
                <c:pt idx="0">
                  <c:v>2015 </c:v>
                </c:pt>
                <c:pt idx="1">
                  <c:v>2016 </c:v>
                </c:pt>
                <c:pt idx="2">
                  <c:v>2017 </c:v>
                </c:pt>
                <c:pt idx="3">
                  <c:v>2018 </c:v>
                </c:pt>
                <c:pt idx="4">
                  <c:v>2019 </c:v>
                </c:pt>
                <c:pt idx="5">
                  <c:v>2020 </c:v>
                </c:pt>
                <c:pt idx="6">
                  <c:v>2021 </c:v>
                </c:pt>
              </c:strCache>
            </c:strRef>
          </c:cat>
          <c:val>
            <c:numRef>
              <c:f>Sheet1!$B$14:$H$14</c:f>
              <c:numCache>
                <c:formatCode>General</c:formatCode>
                <c:ptCount val="7"/>
                <c:pt idx="0">
                  <c:v>123.2</c:v>
                </c:pt>
                <c:pt idx="1">
                  <c:v>104.4</c:v>
                </c:pt>
                <c:pt idx="2">
                  <c:v>88.3</c:v>
                </c:pt>
                <c:pt idx="3">
                  <c:v>77.599999999999994</c:v>
                </c:pt>
                <c:pt idx="4">
                  <c:v>65.5</c:v>
                </c:pt>
                <c:pt idx="5">
                  <c:v>54.9</c:v>
                </c:pt>
                <c:pt idx="6">
                  <c:v>44.9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FDD-4C82-8896-BB03CD1EC66C}"/>
            </c:ext>
          </c:extLst>
        </c:ser>
        <c:ser>
          <c:idx val="2"/>
          <c:order val="2"/>
          <c:tx>
            <c:strRef>
              <c:f>Sheet1!$A$5</c:f>
              <c:strCache>
                <c:ptCount val="1"/>
                <c:pt idx="0">
                  <c:v>CTCA 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Sheet1!$J$19:$P$19</c:f>
                <c:numCache>
                  <c:formatCode>General</c:formatCode>
                  <c:ptCount val="7"/>
                  <c:pt idx="0">
                    <c:v>5.5192999999999897</c:v>
                  </c:pt>
                  <c:pt idx="1">
                    <c:v>5.7114000000000056</c:v>
                  </c:pt>
                  <c:pt idx="2">
                    <c:v>5.9484000000000066</c:v>
                  </c:pt>
                  <c:pt idx="3">
                    <c:v>5.8883999999999883</c:v>
                  </c:pt>
                  <c:pt idx="4">
                    <c:v>6.0185000000000102</c:v>
                  </c:pt>
                  <c:pt idx="5">
                    <c:v>6.995699999999994</c:v>
                  </c:pt>
                  <c:pt idx="6">
                    <c:v>6.262299999999998</c:v>
                  </c:pt>
                </c:numCache>
              </c:numRef>
            </c:plus>
            <c:minus>
              <c:numRef>
                <c:f>Sheet1!$J$18:$P$18</c:f>
                <c:numCache>
                  <c:formatCode>General</c:formatCode>
                  <c:ptCount val="7"/>
                  <c:pt idx="0">
                    <c:v>5.1247000000000025</c:v>
                  </c:pt>
                  <c:pt idx="1">
                    <c:v>5.3570000000000011</c:v>
                  </c:pt>
                  <c:pt idx="2">
                    <c:v>5.6402999999999874</c:v>
                  </c:pt>
                  <c:pt idx="3">
                    <c:v>5.6121000000000087</c:v>
                  </c:pt>
                  <c:pt idx="4">
                    <c:v>5.7809999999999944</c:v>
                  </c:pt>
                  <c:pt idx="5">
                    <c:v>6.7167000000000199</c:v>
                  </c:pt>
                  <c:pt idx="6">
                    <c:v>6.0375000000000014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Sheet1!$B$1:$H$1</c:f>
              <c:strCache>
                <c:ptCount val="7"/>
                <c:pt idx="0">
                  <c:v>2015 </c:v>
                </c:pt>
                <c:pt idx="1">
                  <c:v>2016 </c:v>
                </c:pt>
                <c:pt idx="2">
                  <c:v>2017 </c:v>
                </c:pt>
                <c:pt idx="3">
                  <c:v>2018 </c:v>
                </c:pt>
                <c:pt idx="4">
                  <c:v>2019 </c:v>
                </c:pt>
                <c:pt idx="5">
                  <c:v>2020 </c:v>
                </c:pt>
                <c:pt idx="6">
                  <c:v>2021 </c:v>
                </c:pt>
              </c:strCache>
            </c:strRef>
          </c:cat>
          <c:val>
            <c:numRef>
              <c:f>Sheet1!$B$15:$H$15</c:f>
              <c:numCache>
                <c:formatCode>General</c:formatCode>
                <c:ptCount val="7"/>
                <c:pt idx="0">
                  <c:v>66.599999999999994</c:v>
                </c:pt>
                <c:pt idx="1">
                  <c:v>79</c:v>
                </c:pt>
                <c:pt idx="2">
                  <c:v>97.2</c:v>
                </c:pt>
                <c:pt idx="3">
                  <c:v>105.5</c:v>
                </c:pt>
                <c:pt idx="4">
                  <c:v>125.5</c:v>
                </c:pt>
                <c:pt idx="5">
                  <c:v>140.9</c:v>
                </c:pt>
                <c:pt idx="6">
                  <c:v>140.69999999999999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FDD-4C82-8896-BB03CD1EC66C}"/>
            </c:ext>
          </c:extLst>
        </c:ser>
        <c:ser>
          <c:idx val="3"/>
          <c:order val="3"/>
          <c:tx>
            <c:strRef>
              <c:f>Sheet1!$A$17</c:f>
              <c:strCache>
                <c:ptCount val="1"/>
                <c:pt idx="0">
                  <c:v>LP or CTCA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Sheet1!$J$22:$P$22</c:f>
                <c:numCache>
                  <c:formatCode>General</c:formatCode>
                  <c:ptCount val="7"/>
                  <c:pt idx="0">
                    <c:v>8.3450000000000184</c:v>
                  </c:pt>
                  <c:pt idx="1">
                    <c:v>7.9118999999999993</c:v>
                  </c:pt>
                  <c:pt idx="2">
                    <c:v>7.5559999999999796</c:v>
                  </c:pt>
                  <c:pt idx="3">
                    <c:v>7.1727000000000043</c:v>
                  </c:pt>
                  <c:pt idx="4">
                    <c:v>6.9567999999999852</c:v>
                  </c:pt>
                  <c:pt idx="5">
                    <c:v>7.7682000000000029</c:v>
                  </c:pt>
                  <c:pt idx="6">
                    <c:v>6.8320999999999801</c:v>
                  </c:pt>
                </c:numCache>
              </c:numRef>
            </c:plus>
            <c:minus>
              <c:numRef>
                <c:f>Sheet1!$J$21:$P$21</c:f>
                <c:numCache>
                  <c:formatCode>General</c:formatCode>
                  <c:ptCount val="7"/>
                  <c:pt idx="0">
                    <c:v>8.0539999999999772</c:v>
                  </c:pt>
                  <c:pt idx="1">
                    <c:v>7.6375999999999902</c:v>
                  </c:pt>
                  <c:pt idx="2">
                    <c:v>7.3073000000000166</c:v>
                  </c:pt>
                  <c:pt idx="3">
                    <c:v>6.9426999999999959</c:v>
                  </c:pt>
                  <c:pt idx="4">
                    <c:v>6.7543999999999933</c:v>
                  </c:pt>
                  <c:pt idx="5">
                    <c:v>7.5233999999999854</c:v>
                  </c:pt>
                  <c:pt idx="6">
                    <c:v>6.6293000000000042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Sheet1!$B$17:$H$17</c:f>
              <c:numCache>
                <c:formatCode>General</c:formatCode>
                <c:ptCount val="7"/>
                <c:pt idx="0">
                  <c:v>180.2</c:v>
                </c:pt>
                <c:pt idx="1">
                  <c:v>173.9</c:v>
                </c:pt>
                <c:pt idx="2">
                  <c:v>175</c:v>
                </c:pt>
                <c:pt idx="3">
                  <c:v>171.7</c:v>
                </c:pt>
                <c:pt idx="4">
                  <c:v>180.9</c:v>
                </c:pt>
                <c:pt idx="5">
                  <c:v>184.6</c:v>
                </c:pt>
                <c:pt idx="6">
                  <c:v>175.7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FDD-4C82-8896-BB03CD1EC6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1948303"/>
        <c:axId val="386179631"/>
        <c:extLst>
          <c:ext xmlns:c15="http://schemas.microsoft.com/office/drawing/2012/chart" uri="{02D57815-91ED-43cb-92C2-25804820EDAC}">
            <c15:filteredLineSeries>
              <c15:ser>
                <c:idx val="1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Sheet1!$A$2</c15:sqref>
                        </c15:formulaRef>
                      </c:ext>
                    </c:extLst>
                    <c:strCache>
                      <c:ptCount val="1"/>
                      <c:pt idx="0">
                        <c:v>Encounters (n) 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/>
                    </a:solidFill>
                    <a:ln w="9525">
                      <a:solidFill>
                        <a:schemeClr val="accent2"/>
                      </a:solidFill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Sheet1!$B$1:$H$1</c15:sqref>
                        </c15:formulaRef>
                      </c:ext>
                    </c:extLst>
                    <c:strCache>
                      <c:ptCount val="7"/>
                      <c:pt idx="0">
                        <c:v>2015 </c:v>
                      </c:pt>
                      <c:pt idx="1">
                        <c:v>2016 </c:v>
                      </c:pt>
                      <c:pt idx="2">
                        <c:v>2017 </c:v>
                      </c:pt>
                      <c:pt idx="3">
                        <c:v>2018 </c:v>
                      </c:pt>
                      <c:pt idx="4">
                        <c:v>2019 </c:v>
                      </c:pt>
                      <c:pt idx="5">
                        <c:v>2020 </c:v>
                      </c:pt>
                      <c:pt idx="6">
                        <c:v>2021 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Sheet1!$B$2:$H$2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27132</c:v>
                      </c:pt>
                      <c:pt idx="1">
                        <c:v>27944</c:v>
                      </c:pt>
                      <c:pt idx="2">
                        <c:v>28489</c:v>
                      </c:pt>
                      <c:pt idx="3">
                        <c:v>29179</c:v>
                      </c:pt>
                      <c:pt idx="4">
                        <c:v>31090</c:v>
                      </c:pt>
                      <c:pt idx="5">
                        <c:v>24942</c:v>
                      </c:pt>
                      <c:pt idx="6">
                        <c:v>29333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DFDD-4C82-8896-BB03CD1EC66C}"/>
                  </c:ext>
                </c:extLst>
              </c15:ser>
            </c15:filteredLineSeries>
          </c:ext>
        </c:extLst>
      </c:lineChart>
      <c:catAx>
        <c:axId val="23194830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baseline="0">
                    <a:effectLst/>
                  </a:rPr>
                  <a:t>Year</a:t>
                </a:r>
                <a:endParaRPr lang="en-US" sz="14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179631"/>
        <c:crosses val="autoZero"/>
        <c:auto val="1"/>
        <c:lblAlgn val="ctr"/>
        <c:lblOffset val="100"/>
        <c:noMultiLvlLbl val="0"/>
      </c:catAx>
      <c:valAx>
        <c:axId val="3861796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baseline="0">
                    <a:effectLst/>
                  </a:rPr>
                  <a:t>Rate per 1000 ED encounters</a:t>
                </a:r>
                <a:endParaRPr lang="en-US" sz="1400">
                  <a:effectLst/>
                </a:endParaRPr>
              </a:p>
            </c:rich>
          </c:tx>
          <c:layout>
            <c:manualLayout>
              <c:xMode val="edge"/>
              <c:yMode val="edge"/>
              <c:x val="4.1926694723316733E-2"/>
              <c:y val="0.1690947243419765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1948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7647ec-f617-4999-8032-1f453e4c2fb5" xsi:nil="true"/>
    <lcf76f155ced4ddcb4097134ff3c332f xmlns="04c69e7e-30dd-4fc4-b8bc-afeef48eb0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212CF887CC049AE0A16A900E750E9" ma:contentTypeVersion="16" ma:contentTypeDescription="Create a new document." ma:contentTypeScope="" ma:versionID="e7820897ed7d53f990ce26ff01c613e4">
  <xsd:schema xmlns:xsd="http://www.w3.org/2001/XMLSchema" xmlns:xs="http://www.w3.org/2001/XMLSchema" xmlns:p="http://schemas.microsoft.com/office/2006/metadata/properties" xmlns:ns2="04c69e7e-30dd-4fc4-b8bc-afeef48eb057" xmlns:ns3="537647ec-f617-4999-8032-1f453e4c2fb5" targetNamespace="http://schemas.microsoft.com/office/2006/metadata/properties" ma:root="true" ma:fieldsID="f03f827e0e1195eccbc7c3aeef81d122" ns2:_="" ns3:_="">
    <xsd:import namespace="04c69e7e-30dd-4fc4-b8bc-afeef48eb057"/>
    <xsd:import namespace="537647ec-f617-4999-8032-1f453e4c2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69e7e-30dd-4fc4-b8bc-afeef48eb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112196-7e5b-431e-8fea-f50fb91b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47ec-f617-4999-8032-1f453e4c2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ff0bba-50f5-4c0b-b1c3-5fd5d8475422}" ma:internalName="TaxCatchAll" ma:showField="CatchAllData" ma:web="537647ec-f617-4999-8032-1f453e4c2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B8E45-4B7B-44CA-883D-6EABF409C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88A28-5B10-48BE-B8D6-480C75C53C84}">
  <ds:schemaRefs>
    <ds:schemaRef ds:uri="http://schemas.microsoft.com/office/2006/documentManagement/types"/>
    <ds:schemaRef ds:uri="http://www.w3.org/XML/1998/namespace"/>
    <ds:schemaRef ds:uri="http://purl.org/dc/elements/1.1/"/>
    <ds:schemaRef ds:uri="04c69e7e-30dd-4fc4-b8bc-afeef48eb057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76C07D-5DF8-4A4E-B518-BEC00100D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Dustin Mark</cp:lastModifiedBy>
  <cp:revision>2</cp:revision>
  <dcterms:created xsi:type="dcterms:W3CDTF">2023-12-07T03:20:00Z</dcterms:created>
  <dcterms:modified xsi:type="dcterms:W3CDTF">2023-12-07T03:20:00Z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0x0101005E2212CF887CC049AE0A16A900E750E9</vt:lpwstr>
  </property>
</Properties>
</file>