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12DC" w14:textId="5380E47E" w:rsidR="1A557A28" w:rsidRDefault="00E31F44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Association between recent COVID infection and prior vaccination </w:t>
      </w:r>
      <w:r w:rsidR="00F62E48">
        <w:rPr>
          <w:rFonts w:ascii="Calibri" w:eastAsia="Calibri" w:hAnsi="Calibri" w:cs="Calibri"/>
          <w:color w:val="4472C4" w:themeColor="accent1"/>
          <w:sz w:val="28"/>
          <w:szCs w:val="28"/>
        </w:rPr>
        <w:t>with</w:t>
      </w:r>
      <w:r w:rsidR="005E0D6C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thromboembolic risk and mortality in </w:t>
      </w:r>
      <w:r w:rsidR="00CD2A4E">
        <w:rPr>
          <w:rFonts w:ascii="Calibri" w:eastAsia="Calibri" w:hAnsi="Calibri" w:cs="Calibri"/>
          <w:color w:val="4472C4" w:themeColor="accent1"/>
          <w:sz w:val="28"/>
          <w:szCs w:val="28"/>
        </w:rPr>
        <w:t>hip and knee surgery patients</w:t>
      </w:r>
      <w:r w:rsidR="00C73A94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</w:t>
      </w:r>
    </w:p>
    <w:p w14:paraId="63095DF0" w14:textId="77777777" w:rsidR="008B3767" w:rsidRPr="005E0D6C" w:rsidRDefault="008B3767" w:rsidP="008B3767">
      <w:pPr>
        <w:rPr>
          <w:rFonts w:cstheme="minorHAnsi"/>
        </w:rPr>
      </w:pPr>
      <w:r w:rsidRPr="005E0D6C">
        <w:rPr>
          <w:rFonts w:cstheme="minorHAnsi"/>
        </w:rPr>
        <w:t>John Cox MD, Aidan Morrell MD, Graham DeKeyser MD, Lusine Gigoyan MPH, Mackenzie Kelly MD, Ryland Kagan MD, Andrew Avins, MD</w:t>
      </w:r>
    </w:p>
    <w:p w14:paraId="02250D48" w14:textId="05EDDFCA" w:rsidR="008B3767" w:rsidRPr="005E0D6C" w:rsidRDefault="008B3767" w:rsidP="008B3767">
      <w:pPr>
        <w:rPr>
          <w:rFonts w:cstheme="minorHAnsi"/>
        </w:rPr>
      </w:pPr>
    </w:p>
    <w:p w14:paraId="7FCD574A" w14:textId="627B391A" w:rsidR="008A7C90" w:rsidRPr="005E0D6C" w:rsidRDefault="00F76FD2" w:rsidP="00D24534">
      <w:pPr>
        <w:spacing w:after="0"/>
        <w:rPr>
          <w:rFonts w:cstheme="minorHAnsi"/>
        </w:rPr>
      </w:pPr>
      <w:r w:rsidRPr="005E0D6C">
        <w:rPr>
          <w:rFonts w:cstheme="minorHAnsi"/>
        </w:rPr>
        <w:t xml:space="preserve"> 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5E0D6C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bookmarkStart w:id="0" w:name="_Hlk54105970"/>
            <w:r w:rsidRPr="005E0D6C">
              <w:rPr>
                <w:rFonts w:cstheme="minorHAnsi"/>
              </w:rPr>
              <w:t>Challenge</w:t>
            </w:r>
          </w:p>
        </w:tc>
        <w:tc>
          <w:tcPr>
            <w:tcW w:w="8730" w:type="dxa"/>
          </w:tcPr>
          <w:p w14:paraId="7F9273D4" w14:textId="66F56BC6" w:rsidR="0048655A" w:rsidRPr="005E0D6C" w:rsidRDefault="008E6845" w:rsidP="0048655A">
            <w:pPr>
              <w:spacing w:line="259" w:lineRule="auto"/>
              <w:rPr>
                <w:rFonts w:cstheme="minorHAnsi"/>
                <w:b/>
                <w:bCs/>
              </w:rPr>
            </w:pPr>
            <w:r w:rsidRPr="005E0D6C">
              <w:rPr>
                <w:rFonts w:cstheme="minorHAnsi"/>
                <w:b/>
                <w:bCs/>
              </w:rPr>
              <w:t xml:space="preserve">Little is known about </w:t>
            </w:r>
            <w:r w:rsidR="00541D1B" w:rsidRPr="005E0D6C">
              <w:rPr>
                <w:rFonts w:cstheme="minorHAnsi"/>
                <w:b/>
                <w:bCs/>
              </w:rPr>
              <w:t xml:space="preserve">the risks of prior COVID infection </w:t>
            </w:r>
            <w:r w:rsidR="00FE7CAF" w:rsidRPr="005E0D6C">
              <w:rPr>
                <w:rFonts w:cstheme="minorHAnsi"/>
                <w:b/>
                <w:bCs/>
              </w:rPr>
              <w:t xml:space="preserve">and vaccination </w:t>
            </w:r>
            <w:r w:rsidR="00474EA7" w:rsidRPr="005E0D6C">
              <w:rPr>
                <w:rFonts w:cstheme="minorHAnsi"/>
                <w:b/>
                <w:bCs/>
              </w:rPr>
              <w:t xml:space="preserve">on thromboembolic risk and mortality among hip and knee arthroplasty </w:t>
            </w:r>
            <w:r w:rsidR="002B44EE" w:rsidRPr="005E0D6C">
              <w:rPr>
                <w:rFonts w:cstheme="minorHAnsi"/>
                <w:b/>
                <w:bCs/>
              </w:rPr>
              <w:t xml:space="preserve">patients and </w:t>
            </w:r>
            <w:r w:rsidR="00661C61" w:rsidRPr="005E0D6C">
              <w:rPr>
                <w:rFonts w:cstheme="minorHAnsi"/>
                <w:b/>
                <w:bCs/>
              </w:rPr>
              <w:t>patients undergoing surgery for hip fracture</w:t>
            </w:r>
            <w:r w:rsidR="007A2CA3" w:rsidRPr="005E0D6C">
              <w:rPr>
                <w:rFonts w:cstheme="minorHAnsi"/>
                <w:b/>
                <w:bCs/>
              </w:rPr>
              <w:t>.</w:t>
            </w:r>
          </w:p>
        </w:tc>
      </w:tr>
      <w:tr w:rsidR="0048655A" w:rsidRPr="005E0D6C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Existing Evidence</w:t>
            </w:r>
          </w:p>
        </w:tc>
        <w:tc>
          <w:tcPr>
            <w:tcW w:w="8730" w:type="dxa"/>
          </w:tcPr>
          <w:p w14:paraId="70041630" w14:textId="1FA881F6" w:rsidR="0048655A" w:rsidRPr="005E0D6C" w:rsidRDefault="00BF39FB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 xml:space="preserve">Few data exist on the </w:t>
            </w:r>
            <w:r w:rsidR="00502754" w:rsidRPr="005E0D6C">
              <w:rPr>
                <w:rFonts w:cstheme="minorHAnsi"/>
              </w:rPr>
              <w:t>risks of both thromboembolic events and mortality among both elective arthroplasty patients and those undergoing urgent surgery for hip fracture</w:t>
            </w:r>
            <w:r w:rsidR="00804E66" w:rsidRPr="005E0D6C">
              <w:rPr>
                <w:rFonts w:cstheme="minorHAnsi"/>
              </w:rPr>
              <w:t xml:space="preserve"> in the context of recent COVID-19 exposure</w:t>
            </w:r>
            <w:r w:rsidR="00502754" w:rsidRPr="005E0D6C">
              <w:rPr>
                <w:rFonts w:cstheme="minorHAnsi"/>
              </w:rPr>
              <w:t xml:space="preserve">; the few available studies </w:t>
            </w:r>
            <w:r w:rsidR="00895397" w:rsidRPr="005E0D6C">
              <w:rPr>
                <w:rFonts w:cstheme="minorHAnsi"/>
              </w:rPr>
              <w:t>have conflicting results.</w:t>
            </w:r>
          </w:p>
        </w:tc>
      </w:tr>
      <w:tr w:rsidR="0048655A" w:rsidRPr="005E0D6C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Target Population</w:t>
            </w:r>
          </w:p>
        </w:tc>
        <w:tc>
          <w:tcPr>
            <w:tcW w:w="8730" w:type="dxa"/>
          </w:tcPr>
          <w:p w14:paraId="1486D38C" w14:textId="0142EF39" w:rsidR="0048655A" w:rsidRPr="005E0D6C" w:rsidRDefault="00CA38EF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 xml:space="preserve">Patients undergoing hip or knee arthroplasty; </w:t>
            </w:r>
            <w:r w:rsidR="00FF6D17" w:rsidRPr="005E0D6C">
              <w:rPr>
                <w:rFonts w:cstheme="minorHAnsi"/>
              </w:rPr>
              <w:t>patients undergoing surgery for hip fracture</w:t>
            </w:r>
          </w:p>
        </w:tc>
      </w:tr>
      <w:tr w:rsidR="0048655A" w:rsidRPr="005E0D6C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Intervention or Exposure</w:t>
            </w:r>
          </w:p>
        </w:tc>
        <w:tc>
          <w:tcPr>
            <w:tcW w:w="8730" w:type="dxa"/>
          </w:tcPr>
          <w:p w14:paraId="0CA2C589" w14:textId="7367FB13" w:rsidR="0048655A" w:rsidRPr="005E0D6C" w:rsidRDefault="009002FB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Documented prior COVID infection, COVID immunization</w:t>
            </w:r>
          </w:p>
        </w:tc>
      </w:tr>
      <w:tr w:rsidR="0048655A" w:rsidRPr="005E0D6C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5E0D6C" w:rsidRDefault="0048655A" w:rsidP="0048655A">
            <w:pPr>
              <w:spacing w:line="259" w:lineRule="auto"/>
              <w:rPr>
                <w:rFonts w:cstheme="minorHAnsi"/>
                <w:b/>
                <w:bCs/>
              </w:rPr>
            </w:pPr>
            <w:r w:rsidRPr="005E0D6C">
              <w:rPr>
                <w:rFonts w:cstheme="minorHAnsi"/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3838760" w14:textId="22807354" w:rsidR="0048655A" w:rsidRPr="005E0D6C" w:rsidRDefault="00F53358" w:rsidP="0031051B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  <w:b/>
                <w:bCs/>
              </w:rPr>
              <w:t>Overall, prior COVID infection was not associated with</w:t>
            </w:r>
            <w:r w:rsidR="00252AFD" w:rsidRPr="005E0D6C">
              <w:rPr>
                <w:rFonts w:cstheme="minorHAnsi"/>
                <w:b/>
                <w:bCs/>
              </w:rPr>
              <w:t xml:space="preserve"> higher risk of </w:t>
            </w:r>
            <w:proofErr w:type="gramStart"/>
            <w:r w:rsidR="00252AFD" w:rsidRPr="005E0D6C">
              <w:rPr>
                <w:rFonts w:cstheme="minorHAnsi"/>
                <w:b/>
                <w:bCs/>
              </w:rPr>
              <w:t>thromboembolism</w:t>
            </w:r>
            <w:proofErr w:type="gramEnd"/>
            <w:r w:rsidR="000F5CC4" w:rsidRPr="005E0D6C">
              <w:rPr>
                <w:rFonts w:cstheme="minorHAnsi"/>
                <w:b/>
                <w:bCs/>
              </w:rPr>
              <w:t xml:space="preserve"> but more recent infection was associated with higher mortality in arthroplasty patients; among patients undergoing surgery</w:t>
            </w:r>
            <w:r w:rsidR="00726F34" w:rsidRPr="005E0D6C">
              <w:rPr>
                <w:rFonts w:cstheme="minorHAnsi"/>
                <w:b/>
                <w:bCs/>
              </w:rPr>
              <w:t xml:space="preserve">, COVID vaccination was highly protective </w:t>
            </w:r>
            <w:r w:rsidR="00F57B1B" w:rsidRPr="005E0D6C">
              <w:rPr>
                <w:rFonts w:cstheme="minorHAnsi"/>
                <w:b/>
                <w:bCs/>
              </w:rPr>
              <w:t>of total mortality</w:t>
            </w:r>
            <w:r w:rsidR="00C73A94" w:rsidRPr="005E0D6C">
              <w:rPr>
                <w:rFonts w:cstheme="minorHAnsi"/>
                <w:b/>
                <w:bCs/>
              </w:rPr>
              <w:t>.</w:t>
            </w:r>
            <w:r w:rsidR="0048655A" w:rsidRPr="005E0D6C">
              <w:rPr>
                <w:rFonts w:cstheme="minorHAnsi"/>
              </w:rPr>
              <w:t xml:space="preserve"> </w:t>
            </w:r>
          </w:p>
          <w:p w14:paraId="4515E6F4" w14:textId="77777777" w:rsidR="00EB63B9" w:rsidRPr="005E0D6C" w:rsidRDefault="00EB63B9" w:rsidP="0031051B">
            <w:pPr>
              <w:spacing w:line="259" w:lineRule="auto"/>
              <w:rPr>
                <w:rFonts w:cstheme="minorHAnsi"/>
              </w:rPr>
            </w:pPr>
          </w:p>
          <w:p w14:paraId="7449FEB2" w14:textId="77777777" w:rsidR="00EB63B9" w:rsidRPr="005E0D6C" w:rsidRDefault="00EB63B9" w:rsidP="00EB63B9">
            <w:pPr>
              <w:rPr>
                <w:rFonts w:cstheme="minorHAnsi"/>
              </w:rPr>
            </w:pPr>
            <w:r w:rsidRPr="005E0D6C">
              <w:rPr>
                <w:rFonts w:cstheme="minorHAnsi"/>
              </w:rPr>
              <w:t>COVID-19 vaccination may reduce mortality risk in hip fracture patients with recent infection. Shorter infection-to-surgery intervals further increase mortality risk, and recent infection is associated with higher VTE risk.</w:t>
            </w:r>
          </w:p>
          <w:p w14:paraId="71E38D04" w14:textId="77777777" w:rsidR="004507FA" w:rsidRPr="005E0D6C" w:rsidRDefault="004507FA" w:rsidP="00EB63B9">
            <w:pPr>
              <w:rPr>
                <w:rFonts w:cstheme="minorHAnsi"/>
              </w:rPr>
            </w:pPr>
          </w:p>
          <w:p w14:paraId="3CD35CB0" w14:textId="27BB6529" w:rsidR="00EB63B9" w:rsidRPr="005E0D6C" w:rsidRDefault="005E2B32" w:rsidP="005E2B32">
            <w:pPr>
              <w:rPr>
                <w:rFonts w:cstheme="minorHAnsi"/>
              </w:rPr>
            </w:pPr>
            <w:r w:rsidRPr="005E0D6C">
              <w:rPr>
                <w:rFonts w:cstheme="minorHAnsi"/>
              </w:rPr>
              <w:t>Recent COVID-19 infection did not significantly impact VTE risk after THA or TKA. However, infection within 6 to 12 weeks preoperatively was associated with increased 90-day mortality.</w:t>
            </w:r>
          </w:p>
        </w:tc>
      </w:tr>
      <w:tr w:rsidR="0048655A" w:rsidRPr="005E0D6C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5E0D6C" w:rsidRDefault="0048655A" w:rsidP="0048655A">
            <w:pPr>
              <w:spacing w:line="259" w:lineRule="auto"/>
              <w:rPr>
                <w:rFonts w:cstheme="minorHAnsi"/>
                <w:b/>
                <w:bCs/>
              </w:rPr>
            </w:pPr>
            <w:r w:rsidRPr="005E0D6C">
              <w:rPr>
                <w:rFonts w:cstheme="minorHAnsi"/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64163E0C" w14:textId="607DB4FE" w:rsidR="004507FA" w:rsidRPr="005E0D6C" w:rsidRDefault="008F5AD0" w:rsidP="0048655A">
            <w:pPr>
              <w:spacing w:line="259" w:lineRule="auto"/>
              <w:rPr>
                <w:rFonts w:cstheme="minorHAnsi"/>
                <w:b/>
                <w:bCs/>
              </w:rPr>
            </w:pPr>
            <w:r w:rsidRPr="005E0D6C">
              <w:rPr>
                <w:rFonts w:cstheme="minorHAnsi"/>
                <w:b/>
                <w:bCs/>
              </w:rPr>
              <w:t xml:space="preserve">No change in current </w:t>
            </w:r>
            <w:r w:rsidR="004507FA" w:rsidRPr="005E0D6C">
              <w:rPr>
                <w:rFonts w:cstheme="minorHAnsi"/>
                <w:b/>
                <w:bCs/>
              </w:rPr>
              <w:t>DVT prophylaxis</w:t>
            </w:r>
            <w:r w:rsidRPr="005E0D6C">
              <w:rPr>
                <w:rFonts w:cstheme="minorHAnsi"/>
                <w:b/>
                <w:bCs/>
              </w:rPr>
              <w:t xml:space="preserve"> indicated</w:t>
            </w:r>
            <w:r w:rsidR="004507FA" w:rsidRPr="005E0D6C">
              <w:rPr>
                <w:rFonts w:cstheme="minorHAnsi"/>
                <w:b/>
                <w:bCs/>
              </w:rPr>
              <w:t xml:space="preserve"> for these populations.</w:t>
            </w:r>
          </w:p>
          <w:p w14:paraId="1EF45B03" w14:textId="4E9009AC" w:rsidR="004507FA" w:rsidRPr="005E0D6C" w:rsidRDefault="004507FA" w:rsidP="0048655A">
            <w:pPr>
              <w:spacing w:line="259" w:lineRule="auto"/>
              <w:rPr>
                <w:rFonts w:cstheme="minorHAnsi"/>
                <w:b/>
                <w:bCs/>
              </w:rPr>
            </w:pPr>
            <w:r w:rsidRPr="005E0D6C">
              <w:rPr>
                <w:rFonts w:cstheme="minorHAnsi"/>
                <w:b/>
                <w:bCs/>
              </w:rPr>
              <w:t>C</w:t>
            </w:r>
            <w:r w:rsidR="008F5AD0" w:rsidRPr="005E0D6C">
              <w:rPr>
                <w:rFonts w:cstheme="minorHAnsi"/>
                <w:b/>
                <w:bCs/>
              </w:rPr>
              <w:t xml:space="preserve">ontinued emphasis on </w:t>
            </w:r>
            <w:r w:rsidRPr="005E0D6C">
              <w:rPr>
                <w:rFonts w:cstheme="minorHAnsi"/>
                <w:b/>
                <w:bCs/>
              </w:rPr>
              <w:t xml:space="preserve">the importance of </w:t>
            </w:r>
            <w:r w:rsidR="008F5AD0" w:rsidRPr="005E0D6C">
              <w:rPr>
                <w:rFonts w:cstheme="minorHAnsi"/>
                <w:b/>
                <w:bCs/>
              </w:rPr>
              <w:t>COVID vaccination</w:t>
            </w:r>
            <w:r w:rsidR="00BC0CAB" w:rsidRPr="005E0D6C">
              <w:rPr>
                <w:rFonts w:cstheme="minorHAnsi"/>
                <w:b/>
                <w:bCs/>
              </w:rPr>
              <w:t xml:space="preserve"> is warranted</w:t>
            </w:r>
            <w:r w:rsidRPr="005E0D6C">
              <w:rPr>
                <w:rFonts w:cstheme="minorHAnsi"/>
                <w:b/>
                <w:bCs/>
              </w:rPr>
              <w:t xml:space="preserve">. </w:t>
            </w:r>
          </w:p>
          <w:p w14:paraId="092B6F29" w14:textId="1BC2EBD9" w:rsidR="0048655A" w:rsidRPr="005E0D6C" w:rsidRDefault="004507FA" w:rsidP="0048655A">
            <w:pPr>
              <w:spacing w:line="259" w:lineRule="auto"/>
              <w:rPr>
                <w:rFonts w:cstheme="minorHAnsi"/>
                <w:b/>
                <w:bCs/>
              </w:rPr>
            </w:pPr>
            <w:r w:rsidRPr="005E0D6C">
              <w:rPr>
                <w:rFonts w:cstheme="minorHAnsi"/>
                <w:b/>
                <w:bCs/>
              </w:rPr>
              <w:t xml:space="preserve">Elective hip and knee replacement surgery in unvaccinated patients who had COVID within the last 12 weeks should delay surgery to reduce mortality risk. </w:t>
            </w:r>
          </w:p>
        </w:tc>
      </w:tr>
      <w:tr w:rsidR="00CB0455" w:rsidRPr="005E0D6C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5E0D6C" w:rsidRDefault="00CB0455" w:rsidP="0048655A">
            <w:pPr>
              <w:rPr>
                <w:rFonts w:cstheme="minorHAnsi"/>
              </w:rPr>
            </w:pPr>
            <w:r w:rsidRPr="005E0D6C">
              <w:rPr>
                <w:rFonts w:cstheme="minorHAnsi"/>
              </w:rPr>
              <w:t>Additional Recommendations</w:t>
            </w:r>
          </w:p>
        </w:tc>
        <w:tc>
          <w:tcPr>
            <w:tcW w:w="8730" w:type="dxa"/>
          </w:tcPr>
          <w:p w14:paraId="08163871" w14:textId="327C55D4" w:rsidR="00CB0455" w:rsidRPr="005E0D6C" w:rsidRDefault="007A2CA3" w:rsidP="0048655A">
            <w:pPr>
              <w:rPr>
                <w:rFonts w:cstheme="minorHAnsi"/>
              </w:rPr>
            </w:pPr>
            <w:r w:rsidRPr="005E0D6C">
              <w:rPr>
                <w:rFonts w:cstheme="minorHAnsi"/>
              </w:rPr>
              <w:t>None</w:t>
            </w:r>
          </w:p>
        </w:tc>
      </w:tr>
      <w:tr w:rsidR="0048655A" w:rsidRPr="005E0D6C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Implementation Tools</w:t>
            </w:r>
            <w:r w:rsidRPr="005E0D6C">
              <w:rPr>
                <w:rFonts w:cstheme="minorHAnsi"/>
              </w:rPr>
              <w:tab/>
            </w:r>
          </w:p>
        </w:tc>
        <w:tc>
          <w:tcPr>
            <w:tcW w:w="8730" w:type="dxa"/>
          </w:tcPr>
          <w:p w14:paraId="35B5FEA6" w14:textId="7783CB62" w:rsidR="0048655A" w:rsidRPr="005E0D6C" w:rsidRDefault="003E559C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Data on Covid-19 Vaccination rates</w:t>
            </w:r>
            <w:r w:rsidR="006B281A" w:rsidRPr="005E0D6C">
              <w:rPr>
                <w:rFonts w:cstheme="minorHAnsi"/>
              </w:rPr>
              <w:t xml:space="preserve"> (note that these </w:t>
            </w:r>
            <w:r w:rsidR="00EB51A8" w:rsidRPr="005E0D6C">
              <w:rPr>
                <w:rFonts w:cstheme="minorHAnsi"/>
              </w:rPr>
              <w:t xml:space="preserve">have been historically </w:t>
            </w:r>
            <w:r w:rsidR="006B281A" w:rsidRPr="005E0D6C">
              <w:rPr>
                <w:rFonts w:cstheme="minorHAnsi"/>
              </w:rPr>
              <w:t>high in KPNC</w:t>
            </w:r>
            <w:r w:rsidR="00EB51A8" w:rsidRPr="005E0D6C">
              <w:rPr>
                <w:rFonts w:cstheme="minorHAnsi"/>
              </w:rPr>
              <w:t>)</w:t>
            </w:r>
          </w:p>
        </w:tc>
      </w:tr>
      <w:tr w:rsidR="0048655A" w:rsidRPr="005E0D6C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Implementation Measurement</w:t>
            </w:r>
          </w:p>
        </w:tc>
        <w:tc>
          <w:tcPr>
            <w:tcW w:w="8730" w:type="dxa"/>
          </w:tcPr>
          <w:p w14:paraId="0D25EBD1" w14:textId="7FE01021" w:rsidR="0048655A" w:rsidRPr="005E0D6C" w:rsidRDefault="003E559C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Percent change in covid-19 vaccination rates</w:t>
            </w:r>
            <w:r w:rsidR="006B281A" w:rsidRPr="005E0D6C">
              <w:rPr>
                <w:rFonts w:cstheme="minorHAnsi"/>
              </w:rPr>
              <w:t xml:space="preserve"> (note: our data do not support intentional delays of surgery based on covid test-result status</w:t>
            </w:r>
            <w:r w:rsidR="00EB51A8" w:rsidRPr="005E0D6C">
              <w:rPr>
                <w:rFonts w:cstheme="minorHAnsi"/>
              </w:rPr>
              <w:t xml:space="preserve"> or change in VTE prophylaxis regimens</w:t>
            </w:r>
            <w:r w:rsidR="006B281A" w:rsidRPr="005E0D6C">
              <w:rPr>
                <w:rFonts w:cstheme="minorHAnsi"/>
              </w:rPr>
              <w:t>, so no implementation would be advised for th</w:t>
            </w:r>
            <w:r w:rsidR="00991C28" w:rsidRPr="005E0D6C">
              <w:rPr>
                <w:rFonts w:cstheme="minorHAnsi"/>
              </w:rPr>
              <w:t>ese</w:t>
            </w:r>
            <w:r w:rsidR="006B281A" w:rsidRPr="005E0D6C">
              <w:rPr>
                <w:rFonts w:cstheme="minorHAnsi"/>
              </w:rPr>
              <w:t xml:space="preserve"> potential intervention</w:t>
            </w:r>
            <w:r w:rsidR="00991C28" w:rsidRPr="005E0D6C">
              <w:rPr>
                <w:rFonts w:cstheme="minorHAnsi"/>
              </w:rPr>
              <w:t>s</w:t>
            </w:r>
            <w:r w:rsidR="006B281A" w:rsidRPr="005E0D6C">
              <w:rPr>
                <w:rFonts w:cstheme="minorHAnsi"/>
              </w:rPr>
              <w:t>)</w:t>
            </w:r>
            <w:r w:rsidR="009A4C08" w:rsidRPr="005E0D6C">
              <w:rPr>
                <w:rFonts w:cstheme="minorHAnsi"/>
              </w:rPr>
              <w:t>.</w:t>
            </w:r>
          </w:p>
        </w:tc>
      </w:tr>
      <w:tr w:rsidR="0048655A" w:rsidRPr="005E0D6C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5E0D6C" w:rsidRDefault="0048655A" w:rsidP="0048655A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Reference</w:t>
            </w:r>
          </w:p>
        </w:tc>
        <w:tc>
          <w:tcPr>
            <w:tcW w:w="8730" w:type="dxa"/>
          </w:tcPr>
          <w:p w14:paraId="722DE921" w14:textId="52D7AD76" w:rsidR="0048655A" w:rsidRPr="005E0D6C" w:rsidRDefault="006B281A" w:rsidP="00BC0CAB">
            <w:pPr>
              <w:spacing w:line="259" w:lineRule="auto"/>
              <w:rPr>
                <w:rFonts w:cstheme="minorHAnsi"/>
              </w:rPr>
            </w:pPr>
            <w:r w:rsidRPr="005E0D6C">
              <w:rPr>
                <w:rFonts w:cstheme="minorHAnsi"/>
              </w:rPr>
              <w:t>2 m</w:t>
            </w:r>
            <w:r w:rsidR="00BC0CAB" w:rsidRPr="005E0D6C">
              <w:rPr>
                <w:rFonts w:cstheme="minorHAnsi"/>
              </w:rPr>
              <w:t>anuscripts submitted for peer review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0D7E43"/>
    <w:rsid w:val="000F1F16"/>
    <w:rsid w:val="000F5CC4"/>
    <w:rsid w:val="00117444"/>
    <w:rsid w:val="001D52BB"/>
    <w:rsid w:val="001E348B"/>
    <w:rsid w:val="00246A4F"/>
    <w:rsid w:val="00252AFD"/>
    <w:rsid w:val="002A1A00"/>
    <w:rsid w:val="002B44EE"/>
    <w:rsid w:val="002E2620"/>
    <w:rsid w:val="0031051B"/>
    <w:rsid w:val="003D755D"/>
    <w:rsid w:val="003E18F1"/>
    <w:rsid w:val="003E27D1"/>
    <w:rsid w:val="003E34C5"/>
    <w:rsid w:val="003E559C"/>
    <w:rsid w:val="00441F07"/>
    <w:rsid w:val="004507FA"/>
    <w:rsid w:val="00474EA7"/>
    <w:rsid w:val="00481FDC"/>
    <w:rsid w:val="0048655A"/>
    <w:rsid w:val="004D28BD"/>
    <w:rsid w:val="00502754"/>
    <w:rsid w:val="00514319"/>
    <w:rsid w:val="00541D1B"/>
    <w:rsid w:val="00580CD7"/>
    <w:rsid w:val="005A610F"/>
    <w:rsid w:val="005E0D6C"/>
    <w:rsid w:val="005E2B32"/>
    <w:rsid w:val="005E46B9"/>
    <w:rsid w:val="00603A6B"/>
    <w:rsid w:val="0060605E"/>
    <w:rsid w:val="006345CF"/>
    <w:rsid w:val="006554DA"/>
    <w:rsid w:val="00661C61"/>
    <w:rsid w:val="00671AA8"/>
    <w:rsid w:val="00691713"/>
    <w:rsid w:val="006B281A"/>
    <w:rsid w:val="006D32D2"/>
    <w:rsid w:val="0072563B"/>
    <w:rsid w:val="00726F34"/>
    <w:rsid w:val="00777238"/>
    <w:rsid w:val="007A2CA3"/>
    <w:rsid w:val="007C023C"/>
    <w:rsid w:val="007C615F"/>
    <w:rsid w:val="008026F1"/>
    <w:rsid w:val="00804E66"/>
    <w:rsid w:val="008131C8"/>
    <w:rsid w:val="00895397"/>
    <w:rsid w:val="008A7C90"/>
    <w:rsid w:val="008B3767"/>
    <w:rsid w:val="008E6845"/>
    <w:rsid w:val="008F5AD0"/>
    <w:rsid w:val="009001F2"/>
    <w:rsid w:val="009002FB"/>
    <w:rsid w:val="00933309"/>
    <w:rsid w:val="00956F83"/>
    <w:rsid w:val="00991C28"/>
    <w:rsid w:val="009A4C08"/>
    <w:rsid w:val="00A16BB1"/>
    <w:rsid w:val="00A44E70"/>
    <w:rsid w:val="00A671BD"/>
    <w:rsid w:val="00A93F07"/>
    <w:rsid w:val="00AF745E"/>
    <w:rsid w:val="00BC0CAB"/>
    <w:rsid w:val="00BF39FB"/>
    <w:rsid w:val="00C3487D"/>
    <w:rsid w:val="00C4025A"/>
    <w:rsid w:val="00C62437"/>
    <w:rsid w:val="00C73A94"/>
    <w:rsid w:val="00CA38EF"/>
    <w:rsid w:val="00CB0455"/>
    <w:rsid w:val="00CD2A4E"/>
    <w:rsid w:val="00CF4301"/>
    <w:rsid w:val="00CF6FFD"/>
    <w:rsid w:val="00D003F1"/>
    <w:rsid w:val="00D24534"/>
    <w:rsid w:val="00D3727A"/>
    <w:rsid w:val="00E31F44"/>
    <w:rsid w:val="00E665FD"/>
    <w:rsid w:val="00EA2152"/>
    <w:rsid w:val="00EB0401"/>
    <w:rsid w:val="00EB51A8"/>
    <w:rsid w:val="00EB63B9"/>
    <w:rsid w:val="00EF635D"/>
    <w:rsid w:val="00EF665D"/>
    <w:rsid w:val="00F11D93"/>
    <w:rsid w:val="00F53358"/>
    <w:rsid w:val="00F56CEB"/>
    <w:rsid w:val="00F57B1B"/>
    <w:rsid w:val="00F62E48"/>
    <w:rsid w:val="00F76FD2"/>
    <w:rsid w:val="00FB767F"/>
    <w:rsid w:val="00FE6194"/>
    <w:rsid w:val="00FE7CAF"/>
    <w:rsid w:val="00FF6D17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2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  <ds:schemaRef ds:uri="537647ec-f617-4999-8032-1f453e4c2fb5"/>
    <ds:schemaRef ds:uri="04c69e7e-30dd-4fc4-b8bc-afeef48eb057"/>
  </ds:schemaRefs>
</ds:datastoreItem>
</file>

<file path=customXml/itemProps3.xml><?xml version="1.0" encoding="utf-8"?>
<ds:datastoreItem xmlns:ds="http://schemas.openxmlformats.org/officeDocument/2006/customXml" ds:itemID="{BE0F698D-AE8D-4480-ACDE-8B0DA1BBD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9e7e-30dd-4fc4-b8bc-afeef48eb057"/>
    <ds:schemaRef ds:uri="537647ec-f617-4999-8032-1f453e4c2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10</cp:revision>
  <dcterms:created xsi:type="dcterms:W3CDTF">2025-05-01T19:02:00Z</dcterms:created>
  <dcterms:modified xsi:type="dcterms:W3CDTF">2025-07-01T16:51:00Z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  <property fmtid="{D5CDD505-2E9C-101B-9397-08002B2CF9AE}" pid="3" name="MediaServiceImageTags">
    <vt:lpwstr/>
  </property>
</Properties>
</file>