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FF109" w14:textId="0AB972CD" w:rsidR="72042A7B" w:rsidRDefault="11483228" w:rsidP="5CA7425E">
      <w:pPr>
        <w:jc w:val="center"/>
        <w:rPr>
          <w:rFonts w:ascii="Calibri" w:eastAsia="Calibri" w:hAnsi="Calibri" w:cs="Calibri"/>
          <w:color w:val="4471C4"/>
          <w:sz w:val="28"/>
          <w:szCs w:val="28"/>
        </w:rPr>
      </w:pPr>
      <w:r w:rsidRPr="5CA7425E">
        <w:rPr>
          <w:rFonts w:ascii="Calibri" w:eastAsia="Calibri" w:hAnsi="Calibri" w:cs="Calibri"/>
          <w:color w:val="4471C4"/>
          <w:sz w:val="28"/>
          <w:szCs w:val="28"/>
        </w:rPr>
        <w:t>TARGETED SURVEILLANCE BOOSTS SKIN CANCER</w:t>
      </w:r>
      <w:r w:rsidR="17652CBA" w:rsidRPr="5CA7425E">
        <w:rPr>
          <w:rFonts w:ascii="Calibri" w:eastAsia="Calibri" w:hAnsi="Calibri" w:cs="Calibri"/>
          <w:color w:val="4471C4"/>
          <w:sz w:val="28"/>
          <w:szCs w:val="28"/>
        </w:rPr>
        <w:t xml:space="preserve"> SCREENING AND</w:t>
      </w:r>
      <w:r w:rsidRPr="5CA7425E">
        <w:rPr>
          <w:rFonts w:ascii="Calibri" w:eastAsia="Calibri" w:hAnsi="Calibri" w:cs="Calibri"/>
          <w:color w:val="4471C4"/>
          <w:sz w:val="28"/>
          <w:szCs w:val="28"/>
        </w:rPr>
        <w:t xml:space="preserve"> DETECTION IN </w:t>
      </w:r>
    </w:p>
    <w:p w14:paraId="43C015F1" w14:textId="47E67ED2" w:rsidR="72042A7B" w:rsidRDefault="5E192443" w:rsidP="5CA7425E">
      <w:pPr>
        <w:jc w:val="center"/>
        <w:rPr>
          <w:rFonts w:ascii="Calibri" w:eastAsia="Calibri" w:hAnsi="Calibri" w:cs="Calibri"/>
          <w:color w:val="4472C4" w:themeColor="accent1"/>
          <w:sz w:val="28"/>
          <w:szCs w:val="28"/>
        </w:rPr>
      </w:pPr>
      <w:r w:rsidRPr="5CA7425E">
        <w:rPr>
          <w:rFonts w:ascii="Calibri" w:eastAsia="Calibri" w:hAnsi="Calibri" w:cs="Calibri"/>
          <w:color w:val="4471C4"/>
          <w:sz w:val="28"/>
          <w:szCs w:val="28"/>
        </w:rPr>
        <w:t xml:space="preserve">HIGH-RISK </w:t>
      </w:r>
      <w:r w:rsidR="11483228" w:rsidRPr="5CA7425E">
        <w:rPr>
          <w:rFonts w:ascii="Calibri" w:eastAsia="Calibri" w:hAnsi="Calibri" w:cs="Calibri"/>
          <w:color w:val="4471C4"/>
          <w:sz w:val="28"/>
          <w:szCs w:val="28"/>
        </w:rPr>
        <w:t>SOLID ORGAN TRANSPLANT RECIPIENTS</w:t>
      </w:r>
    </w:p>
    <w:p w14:paraId="088E1162" w14:textId="5D3472D8" w:rsidR="2BA92AAA" w:rsidRDefault="1728F9D0" w:rsidP="5CA7425E">
      <w:pPr>
        <w:spacing w:after="0" w:line="240" w:lineRule="auto"/>
        <w:ind w:left="-360" w:right="-270"/>
        <w:jc w:val="center"/>
        <w:rPr>
          <w:rFonts w:eastAsiaTheme="minorEastAsia"/>
          <w:color w:val="000000" w:themeColor="text1"/>
        </w:rPr>
      </w:pPr>
      <w:r w:rsidRPr="5CA7425E">
        <w:rPr>
          <w:rFonts w:eastAsiaTheme="minorEastAsia"/>
          <w:color w:val="000000" w:themeColor="text1"/>
        </w:rPr>
        <w:t>David S. Lee, MD, Lusine Gigoyan, MPH, Ryan E. Sells, MD, Joshua R. Nugent, PhD, Nelson B. Goes, MD,</w:t>
      </w:r>
    </w:p>
    <w:p w14:paraId="090CF59F" w14:textId="381EF69E" w:rsidR="2BA92AAA" w:rsidRDefault="1728F9D0" w:rsidP="5CA7425E">
      <w:pPr>
        <w:spacing w:after="0" w:line="240" w:lineRule="auto"/>
        <w:ind w:left="-360" w:right="-270"/>
        <w:jc w:val="center"/>
        <w:rPr>
          <w:rFonts w:eastAsiaTheme="minorEastAsia"/>
          <w:color w:val="000000" w:themeColor="text1"/>
        </w:rPr>
      </w:pPr>
      <w:r w:rsidRPr="5CA7425E">
        <w:rPr>
          <w:rFonts w:eastAsiaTheme="minorEastAsia"/>
          <w:color w:val="000000" w:themeColor="text1"/>
        </w:rPr>
        <w:t>Hugh R. Harris, MD, Erna O. Nishime, MD, Gurpreet K. Rihal, MD, David L. Conant, MD, Ngoc Pham, MD, Marilyn L. Kwan, PhD</w:t>
      </w:r>
    </w:p>
    <w:tbl>
      <w:tblPr>
        <w:tblStyle w:val="TableGrid"/>
        <w:tblpPr w:leftFromText="180" w:rightFromText="180" w:vertAnchor="page" w:horzAnchor="margin" w:tblpY="3121"/>
        <w:tblW w:w="10705" w:type="dxa"/>
        <w:tblLook w:val="04A0" w:firstRow="1" w:lastRow="0" w:firstColumn="1" w:lastColumn="0" w:noHBand="0" w:noVBand="1"/>
      </w:tblPr>
      <w:tblGrid>
        <w:gridCol w:w="1975"/>
        <w:gridCol w:w="8730"/>
      </w:tblGrid>
      <w:tr w:rsidR="00E647D4" w:rsidRPr="008A7C90" w14:paraId="418D6505" w14:textId="77777777" w:rsidTr="00E647D4">
        <w:trPr>
          <w:trHeight w:val="750"/>
        </w:trPr>
        <w:tc>
          <w:tcPr>
            <w:tcW w:w="1975" w:type="dxa"/>
          </w:tcPr>
          <w:p w14:paraId="51E22345" w14:textId="77777777" w:rsidR="00E647D4" w:rsidRPr="008A7C90" w:rsidRDefault="00E647D4" w:rsidP="00E647D4">
            <w:pPr>
              <w:spacing w:line="259" w:lineRule="auto"/>
            </w:pPr>
            <w:r>
              <w:t>Challenge</w:t>
            </w:r>
          </w:p>
        </w:tc>
        <w:tc>
          <w:tcPr>
            <w:tcW w:w="8730" w:type="dxa"/>
          </w:tcPr>
          <w:p w14:paraId="6B6FF816" w14:textId="77777777" w:rsidR="00E647D4" w:rsidRPr="0031051B" w:rsidRDefault="00E647D4" w:rsidP="00E647D4">
            <w:pPr>
              <w:spacing w:line="259" w:lineRule="auto"/>
              <w:rPr>
                <w:rFonts w:ascii="Calibri" w:eastAsia="Calibri" w:hAnsi="Calibri" w:cs="Calibri"/>
              </w:rPr>
            </w:pPr>
            <w:r w:rsidRPr="5CA7425E">
              <w:rPr>
                <w:rFonts w:ascii="Calibri" w:eastAsia="Calibri" w:hAnsi="Calibri" w:cs="Calibri"/>
                <w:b/>
                <w:bCs/>
                <w:color w:val="000000" w:themeColor="text1"/>
              </w:rPr>
              <w:t>Solid organ transplant recipients (SOTRs) face a significantly increased risk of skin cancer due to chronic immunosuppression. Effective surveillance is critical to reduce morbidity and mortality, yet adherence to regular screening is low.</w:t>
            </w:r>
          </w:p>
        </w:tc>
      </w:tr>
      <w:tr w:rsidR="00E647D4" w:rsidRPr="008A7C90" w14:paraId="5878FE01" w14:textId="77777777" w:rsidTr="00E647D4">
        <w:trPr>
          <w:trHeight w:val="1091"/>
        </w:trPr>
        <w:tc>
          <w:tcPr>
            <w:tcW w:w="1975" w:type="dxa"/>
          </w:tcPr>
          <w:p w14:paraId="68694290" w14:textId="77777777" w:rsidR="00E647D4" w:rsidRPr="008A7C90" w:rsidRDefault="00E647D4" w:rsidP="00E647D4">
            <w:pPr>
              <w:spacing w:line="259" w:lineRule="auto"/>
            </w:pPr>
            <w:r>
              <w:t>Existing Evidence</w:t>
            </w:r>
          </w:p>
        </w:tc>
        <w:tc>
          <w:tcPr>
            <w:tcW w:w="8730" w:type="dxa"/>
          </w:tcPr>
          <w:p w14:paraId="292B6EAC" w14:textId="77777777" w:rsidR="00E647D4" w:rsidRPr="008A7C90" w:rsidRDefault="00E647D4" w:rsidP="00E647D4">
            <w:pPr>
              <w:spacing w:line="259" w:lineRule="auto"/>
            </w:pPr>
            <w:r>
              <w:t>The elevated risk of skin cancer in SOTRs is well established. Skin cancers in SOTRs are more aggressive, with nearly nine-fold higher cancer-specific mortality than the general population.</w:t>
            </w:r>
          </w:p>
          <w:p w14:paraId="02418698" w14:textId="77777777" w:rsidR="00E647D4" w:rsidRPr="008A7C90" w:rsidRDefault="00E647D4" w:rsidP="00E647D4">
            <w:pPr>
              <w:spacing w:line="259" w:lineRule="auto"/>
            </w:pPr>
          </w:p>
          <w:p w14:paraId="26D51AFC" w14:textId="77777777" w:rsidR="00E647D4" w:rsidRPr="008A7C90" w:rsidRDefault="00E647D4" w:rsidP="00E647D4">
            <w:pPr>
              <w:spacing w:line="259" w:lineRule="auto"/>
            </w:pPr>
            <w:r>
              <w:t xml:space="preserve">The Skin and Ultraviolet Neoplasia Transplant Risk Assessment Calculator (SUNTRAC) was published in 2019, stratifying SOTRs into Low, Medium, High, and Very </w:t>
            </w:r>
            <w:proofErr w:type="gramStart"/>
            <w:r>
              <w:t>High risk</w:t>
            </w:r>
            <w:proofErr w:type="gramEnd"/>
            <w:r>
              <w:t xml:space="preserve"> tiers based on the following established patient risk factors: race, pre-transplant skin cancer history, age at transplant, sex, and transplanted organ.</w:t>
            </w:r>
          </w:p>
        </w:tc>
      </w:tr>
      <w:tr w:rsidR="00E647D4" w:rsidRPr="008A7C90" w14:paraId="38712DED" w14:textId="77777777" w:rsidTr="00E647D4">
        <w:trPr>
          <w:trHeight w:val="262"/>
        </w:trPr>
        <w:tc>
          <w:tcPr>
            <w:tcW w:w="1975" w:type="dxa"/>
          </w:tcPr>
          <w:p w14:paraId="34B54FA5" w14:textId="77777777" w:rsidR="00E647D4" w:rsidRPr="008A7C90" w:rsidRDefault="00E647D4" w:rsidP="00E647D4">
            <w:pPr>
              <w:spacing w:line="259" w:lineRule="auto"/>
            </w:pPr>
            <w:r>
              <w:t>Target Population</w:t>
            </w:r>
          </w:p>
        </w:tc>
        <w:tc>
          <w:tcPr>
            <w:tcW w:w="8730" w:type="dxa"/>
          </w:tcPr>
          <w:p w14:paraId="2ABD3A45" w14:textId="77777777" w:rsidR="00E647D4" w:rsidRPr="008A7C90" w:rsidRDefault="00E647D4" w:rsidP="00E647D4">
            <w:pPr>
              <w:spacing w:line="259" w:lineRule="auto"/>
            </w:pPr>
            <w:r>
              <w:t>Patients aged 18 years or older who underwent solid organ transplantation between January 1, 2016, and December 31, 2023</w:t>
            </w:r>
          </w:p>
        </w:tc>
      </w:tr>
      <w:tr w:rsidR="00E647D4" w:rsidRPr="008A7C90" w14:paraId="5669115B" w14:textId="77777777" w:rsidTr="00E647D4">
        <w:trPr>
          <w:trHeight w:val="276"/>
        </w:trPr>
        <w:tc>
          <w:tcPr>
            <w:tcW w:w="1975" w:type="dxa"/>
          </w:tcPr>
          <w:p w14:paraId="68FBB42A" w14:textId="77777777" w:rsidR="00E647D4" w:rsidRPr="008A7C90" w:rsidRDefault="00E647D4" w:rsidP="00E647D4">
            <w:pPr>
              <w:spacing w:line="259" w:lineRule="auto"/>
            </w:pPr>
            <w:r>
              <w:t>Intervention or Exposure</w:t>
            </w:r>
          </w:p>
        </w:tc>
        <w:tc>
          <w:tcPr>
            <w:tcW w:w="8730" w:type="dxa"/>
          </w:tcPr>
          <w:p w14:paraId="1B3B8BA6" w14:textId="77777777" w:rsidR="00E647D4" w:rsidRPr="008A7C90" w:rsidRDefault="00E647D4" w:rsidP="00E647D4">
            <w:pPr>
              <w:spacing w:line="259" w:lineRule="auto"/>
            </w:pPr>
            <w:r>
              <w:t>The KP-SUNTRAC program, a modified version of SUNTRAC, was implemented to optimize skin cancer surveillance, targeting High and Very High risk SOTRs for annual screenings in Dermatology starting January 2022, and Low and Medium risk SOTRs for annual screenings in Adult and Family Medicine starting January 2024.</w:t>
            </w:r>
          </w:p>
        </w:tc>
      </w:tr>
      <w:tr w:rsidR="00E647D4" w:rsidRPr="008A7C90" w14:paraId="32C920CF" w14:textId="77777777" w:rsidTr="00E647D4">
        <w:trPr>
          <w:trHeight w:val="2282"/>
        </w:trPr>
        <w:tc>
          <w:tcPr>
            <w:tcW w:w="1975" w:type="dxa"/>
          </w:tcPr>
          <w:p w14:paraId="17CBB6CA" w14:textId="77777777" w:rsidR="00E647D4" w:rsidRPr="00EF635D" w:rsidRDefault="00E647D4" w:rsidP="00E647D4">
            <w:pPr>
              <w:spacing w:line="259" w:lineRule="auto"/>
              <w:rPr>
                <w:b/>
                <w:bCs/>
              </w:rPr>
            </w:pPr>
            <w:r w:rsidRPr="0D55BCE7">
              <w:rPr>
                <w:b/>
                <w:bCs/>
              </w:rPr>
              <w:t>Outcomes/Key Findings</w:t>
            </w:r>
          </w:p>
        </w:tc>
        <w:tc>
          <w:tcPr>
            <w:tcW w:w="8730" w:type="dxa"/>
          </w:tcPr>
          <w:p w14:paraId="7D3017FB" w14:textId="77777777" w:rsidR="00E647D4" w:rsidRPr="008A7C90" w:rsidRDefault="00E647D4" w:rsidP="00E647D4">
            <w:pPr>
              <w:spacing w:line="259" w:lineRule="auto"/>
            </w:pPr>
            <w:r w:rsidRPr="5CA7425E">
              <w:rPr>
                <w:b/>
                <w:bCs/>
              </w:rPr>
              <w:t xml:space="preserve">Post-implementation, screening rates improved significantly in High (HR=1.98, 95% CI:1.39-2.82) and Very High (HR=2.17, 95% CI:1.21-3.86) risk groups, and the risk of first detected skin cancer increased significantly (HR=2.57, 95% CI: 1.76-3.73). No increase in healthcare resource utilization was observed. </w:t>
            </w:r>
          </w:p>
          <w:p w14:paraId="3914E5A8" w14:textId="77777777" w:rsidR="00E647D4" w:rsidRPr="008A7C90" w:rsidRDefault="00E647D4" w:rsidP="00E647D4">
            <w:pPr>
              <w:spacing w:line="259" w:lineRule="auto"/>
            </w:pPr>
          </w:p>
          <w:p w14:paraId="71BB200A" w14:textId="77777777" w:rsidR="00E647D4" w:rsidRPr="008A7C90" w:rsidRDefault="00E647D4" w:rsidP="00E647D4">
            <w:pPr>
              <w:spacing w:line="259" w:lineRule="auto"/>
            </w:pPr>
            <w:r>
              <w:t xml:space="preserve">The nested case-cohort study revealed that SOTRs had a 7.8-fold increased risk of developing skin cancer compared to non-SOTRs at KPNC, with increased risks for </w:t>
            </w:r>
            <w:proofErr w:type="spellStart"/>
            <w:r>
              <w:t>cSCC</w:t>
            </w:r>
            <w:proofErr w:type="spellEnd"/>
            <w:r>
              <w:t xml:space="preserve"> (HR=10.90, 95% CI: 7.24-16.40) and BCC (HR=5.56, 95% CI: 3.87-7.98).</w:t>
            </w:r>
          </w:p>
        </w:tc>
      </w:tr>
      <w:tr w:rsidR="00E647D4" w:rsidRPr="008A7C90" w14:paraId="653C1D6A" w14:textId="77777777" w:rsidTr="00E647D4">
        <w:trPr>
          <w:trHeight w:val="816"/>
        </w:trPr>
        <w:tc>
          <w:tcPr>
            <w:tcW w:w="1975" w:type="dxa"/>
          </w:tcPr>
          <w:p w14:paraId="68FC84BB" w14:textId="77777777" w:rsidR="00E647D4" w:rsidRPr="00EF635D" w:rsidRDefault="00E647D4" w:rsidP="00E647D4">
            <w:pPr>
              <w:spacing w:line="259" w:lineRule="auto"/>
              <w:rPr>
                <w:b/>
                <w:bCs/>
              </w:rPr>
            </w:pPr>
            <w:r w:rsidRPr="0D55BCE7">
              <w:rPr>
                <w:b/>
                <w:bCs/>
              </w:rPr>
              <w:t>Resulting Action/Change</w:t>
            </w:r>
          </w:p>
        </w:tc>
        <w:tc>
          <w:tcPr>
            <w:tcW w:w="8730" w:type="dxa"/>
          </w:tcPr>
          <w:p w14:paraId="3A7CEA7A" w14:textId="77777777" w:rsidR="00E647D4" w:rsidRPr="00EF635D" w:rsidRDefault="00E647D4" w:rsidP="00E647D4">
            <w:pPr>
              <w:spacing w:line="259" w:lineRule="auto"/>
              <w:rPr>
                <w:b/>
                <w:bCs/>
              </w:rPr>
            </w:pPr>
            <w:r w:rsidRPr="5CA7425E">
              <w:rPr>
                <w:b/>
                <w:bCs/>
              </w:rPr>
              <w:t>The KP-SUNTRAC program demonstrated that targeted surveillance improves skin cancer screening and detection rates without additional resource burden, supporting its broader implementation.</w:t>
            </w:r>
          </w:p>
        </w:tc>
      </w:tr>
      <w:tr w:rsidR="00E647D4" w:rsidRPr="008A7C90" w14:paraId="5D90C627" w14:textId="77777777" w:rsidTr="00E647D4">
        <w:trPr>
          <w:trHeight w:val="816"/>
        </w:trPr>
        <w:tc>
          <w:tcPr>
            <w:tcW w:w="1975" w:type="dxa"/>
          </w:tcPr>
          <w:p w14:paraId="4E415635" w14:textId="77777777" w:rsidR="00E647D4" w:rsidRPr="00EB0401" w:rsidRDefault="00E647D4" w:rsidP="00E647D4">
            <w:r>
              <w:t>Additional Recommendations</w:t>
            </w:r>
          </w:p>
        </w:tc>
        <w:tc>
          <w:tcPr>
            <w:tcW w:w="8730" w:type="dxa"/>
          </w:tcPr>
          <w:p w14:paraId="3B94FBE8" w14:textId="77777777" w:rsidR="00E647D4" w:rsidRPr="00EB0401" w:rsidRDefault="00E647D4" w:rsidP="00E647D4">
            <w:r w:rsidRPr="5CA7425E">
              <w:t>Enhance awareness of the KP-SUNTRAC program in Adult and Family Medicine. Increased engagement and education about the program will ensure timely and comprehensive screenings for all SOTRs, including those at Low and Medium risk.</w:t>
            </w:r>
          </w:p>
        </w:tc>
      </w:tr>
      <w:tr w:rsidR="00E647D4" w:rsidRPr="008A7C90" w14:paraId="1C15525A" w14:textId="77777777" w:rsidTr="00E647D4">
        <w:trPr>
          <w:trHeight w:val="552"/>
        </w:trPr>
        <w:tc>
          <w:tcPr>
            <w:tcW w:w="1975" w:type="dxa"/>
          </w:tcPr>
          <w:p w14:paraId="160E9BF7" w14:textId="77777777" w:rsidR="00E647D4" w:rsidRPr="008A7C90" w:rsidRDefault="00E647D4" w:rsidP="00E647D4">
            <w:pPr>
              <w:spacing w:line="259" w:lineRule="auto"/>
            </w:pPr>
            <w:r>
              <w:t>Implementation Tools</w:t>
            </w:r>
            <w:r>
              <w:tab/>
            </w:r>
          </w:p>
        </w:tc>
        <w:tc>
          <w:tcPr>
            <w:tcW w:w="8730" w:type="dxa"/>
          </w:tcPr>
          <w:p w14:paraId="49820562" w14:textId="77777777" w:rsidR="00E647D4" w:rsidRPr="008A7C90" w:rsidRDefault="00E647D4" w:rsidP="00E647D4">
            <w:pPr>
              <w:spacing w:line="259" w:lineRule="auto"/>
            </w:pPr>
            <w:r w:rsidRPr="5CA7425E">
              <w:t xml:space="preserve">Manuscript submission to JAMA (impact factor 63.5) or JAMA Dermatology (impact factor 10.9). Submit results for presentation at dermatology and transplant conferences. Disseminate findings and recommendations to organizational leadership and stakeholders. </w:t>
            </w:r>
          </w:p>
        </w:tc>
      </w:tr>
      <w:tr w:rsidR="00E647D4" w:rsidRPr="008A7C90" w14:paraId="77EE9FF8" w14:textId="77777777" w:rsidTr="00E647D4">
        <w:trPr>
          <w:trHeight w:val="552"/>
        </w:trPr>
        <w:tc>
          <w:tcPr>
            <w:tcW w:w="1975" w:type="dxa"/>
          </w:tcPr>
          <w:p w14:paraId="790500B0" w14:textId="77777777" w:rsidR="00E647D4" w:rsidRPr="008A7C90" w:rsidRDefault="00E647D4" w:rsidP="00E647D4">
            <w:pPr>
              <w:spacing w:line="259" w:lineRule="auto"/>
            </w:pPr>
            <w:r>
              <w:t>Implementation Measurement</w:t>
            </w:r>
          </w:p>
          <w:p w14:paraId="4FF85067" w14:textId="77777777" w:rsidR="00E647D4" w:rsidRPr="008A7C90" w:rsidRDefault="00E647D4" w:rsidP="00E647D4">
            <w:pPr>
              <w:spacing w:line="259" w:lineRule="auto"/>
              <w:rPr>
                <w:rFonts w:ascii="Segoe UI" w:eastAsia="Segoe UI" w:hAnsi="Segoe UI" w:cs="Segoe UI"/>
                <w:color w:val="333333"/>
                <w:sz w:val="18"/>
                <w:szCs w:val="18"/>
              </w:rPr>
            </w:pPr>
          </w:p>
        </w:tc>
        <w:tc>
          <w:tcPr>
            <w:tcW w:w="8730" w:type="dxa"/>
          </w:tcPr>
          <w:p w14:paraId="043171FD" w14:textId="77777777" w:rsidR="00E647D4" w:rsidRPr="008A7C90" w:rsidRDefault="00E647D4" w:rsidP="00E647D4">
            <w:pPr>
              <w:spacing w:line="259" w:lineRule="auto"/>
              <w:rPr>
                <w:rFonts w:eastAsiaTheme="minorEastAsia"/>
              </w:rPr>
            </w:pPr>
            <w:r w:rsidRPr="5CA7425E">
              <w:rPr>
                <w:rFonts w:eastAsiaTheme="minorEastAsia"/>
              </w:rPr>
              <w:t>Quarterly screening rates, skin cancer detection rates, and resource utilization metrics, categorized by service area, medical center, and organ type.</w:t>
            </w:r>
          </w:p>
        </w:tc>
      </w:tr>
      <w:tr w:rsidR="00E647D4" w:rsidRPr="008A7C90" w14:paraId="2B8CB820" w14:textId="77777777" w:rsidTr="00E647D4">
        <w:trPr>
          <w:trHeight w:val="538"/>
        </w:trPr>
        <w:tc>
          <w:tcPr>
            <w:tcW w:w="1975" w:type="dxa"/>
          </w:tcPr>
          <w:p w14:paraId="187BDB9E" w14:textId="77777777" w:rsidR="00E647D4" w:rsidRPr="008A7C90" w:rsidRDefault="00E647D4" w:rsidP="00E647D4">
            <w:pPr>
              <w:spacing w:line="259" w:lineRule="auto"/>
            </w:pPr>
            <w:r>
              <w:t>Reference</w:t>
            </w:r>
          </w:p>
          <w:p w14:paraId="62A4ECE0" w14:textId="77777777" w:rsidR="00E647D4" w:rsidRPr="008A7C90" w:rsidRDefault="00E647D4" w:rsidP="00E647D4">
            <w:pPr>
              <w:spacing w:line="259" w:lineRule="auto"/>
              <w:rPr>
                <w:rFonts w:ascii="Segoe UI" w:eastAsia="Segoe UI" w:hAnsi="Segoe UI" w:cs="Segoe UI"/>
                <w:color w:val="333333"/>
                <w:sz w:val="18"/>
                <w:szCs w:val="18"/>
              </w:rPr>
            </w:pPr>
          </w:p>
        </w:tc>
        <w:tc>
          <w:tcPr>
            <w:tcW w:w="8730" w:type="dxa"/>
          </w:tcPr>
          <w:p w14:paraId="6C203B38" w14:textId="77777777" w:rsidR="00E647D4" w:rsidRPr="008A7C90" w:rsidRDefault="00E647D4" w:rsidP="00E647D4">
            <w:pPr>
              <w:spacing w:line="259" w:lineRule="auto"/>
              <w:rPr>
                <w:noProof/>
              </w:rPr>
            </w:pPr>
            <w:r w:rsidRPr="5CA7425E">
              <w:rPr>
                <w:noProof/>
              </w:rPr>
              <w:t>Please see below from the submitted manuscript highlighting key study findings</w:t>
            </w:r>
          </w:p>
        </w:tc>
      </w:tr>
    </w:tbl>
    <w:p w14:paraId="345ABD99" w14:textId="5DABCC97" w:rsidR="0D55BCE7" w:rsidRDefault="0D55BCE7" w:rsidP="5CA7425E">
      <w:pPr>
        <w:spacing w:after="0"/>
        <w:rPr>
          <w:rFonts w:eastAsiaTheme="minorEastAsia"/>
        </w:rPr>
      </w:pPr>
    </w:p>
    <w:p w14:paraId="725AE39D" w14:textId="01B177D8" w:rsidR="6A54C3BE" w:rsidRDefault="6A54C3BE" w:rsidP="5CA7425E">
      <w:pPr>
        <w:spacing w:line="240" w:lineRule="auto"/>
        <w:jc w:val="center"/>
        <w:rPr>
          <w:rFonts w:ascii="Arial" w:eastAsia="Arial" w:hAnsi="Arial" w:cs="Arial"/>
          <w:color w:val="000000" w:themeColor="text1"/>
          <w:sz w:val="18"/>
          <w:szCs w:val="18"/>
        </w:rPr>
      </w:pPr>
      <w:r>
        <w:rPr>
          <w:noProof/>
        </w:rPr>
        <w:lastRenderedPageBreak/>
        <w:drawing>
          <wp:inline distT="0" distB="0" distL="0" distR="0" wp14:anchorId="59A7AAA8" wp14:editId="2F75DA80">
            <wp:extent cx="5936586" cy="5270624"/>
            <wp:effectExtent l="0" t="0" r="0" b="0"/>
            <wp:docPr id="1585545881" name="Picture 1585545881" descr="A graph of different stages of progr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36586" cy="5270624"/>
                    </a:xfrm>
                    <a:prstGeom prst="rect">
                      <a:avLst/>
                    </a:prstGeom>
                  </pic:spPr>
                </pic:pic>
              </a:graphicData>
            </a:graphic>
          </wp:inline>
        </w:drawing>
      </w:r>
    </w:p>
    <w:p w14:paraId="00428CA1" w14:textId="7A474A13" w:rsidR="6A54C3BE" w:rsidRDefault="6A54C3BE" w:rsidP="001C54E4">
      <w:pPr>
        <w:spacing w:line="240" w:lineRule="auto"/>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Figure 1. Time to first skin cancer screening stratified by original SUNTRAC risk group.</w:t>
      </w:r>
      <w:r w:rsidRPr="5CA7425E">
        <w:rPr>
          <w:rFonts w:ascii="Arial" w:eastAsia="Arial" w:hAnsi="Arial" w:cs="Arial"/>
          <w:color w:val="000000" w:themeColor="text1"/>
          <w:sz w:val="18"/>
          <w:szCs w:val="18"/>
        </w:rPr>
        <w:t xml:space="preserve"> No individuals are at risk in the </w:t>
      </w:r>
      <w:proofErr w:type="gramStart"/>
      <w:r w:rsidRPr="5CA7425E">
        <w:rPr>
          <w:rFonts w:ascii="Arial" w:eastAsia="Arial" w:hAnsi="Arial" w:cs="Arial"/>
          <w:color w:val="000000" w:themeColor="text1"/>
          <w:sz w:val="18"/>
          <w:szCs w:val="18"/>
        </w:rPr>
        <w:t>Medium</w:t>
      </w:r>
      <w:proofErr w:type="gramEnd"/>
      <w:r w:rsidRPr="5CA7425E">
        <w:rPr>
          <w:rFonts w:ascii="Arial" w:eastAsia="Arial" w:hAnsi="Arial" w:cs="Arial"/>
          <w:color w:val="000000" w:themeColor="text1"/>
          <w:sz w:val="18"/>
          <w:szCs w:val="18"/>
        </w:rPr>
        <w:t xml:space="preserve"> risk group in the post-implementation cohort beyond week 26 (B), no individuals are at risk in the </w:t>
      </w:r>
      <w:proofErr w:type="gramStart"/>
      <w:r w:rsidRPr="5CA7425E">
        <w:rPr>
          <w:rFonts w:ascii="Arial" w:eastAsia="Arial" w:hAnsi="Arial" w:cs="Arial"/>
          <w:color w:val="000000" w:themeColor="text1"/>
          <w:sz w:val="18"/>
          <w:szCs w:val="18"/>
        </w:rPr>
        <w:t>High risk</w:t>
      </w:r>
      <w:proofErr w:type="gramEnd"/>
      <w:r w:rsidRPr="5CA7425E">
        <w:rPr>
          <w:rFonts w:ascii="Arial" w:eastAsia="Arial" w:hAnsi="Arial" w:cs="Arial"/>
          <w:color w:val="000000" w:themeColor="text1"/>
          <w:sz w:val="18"/>
          <w:szCs w:val="18"/>
        </w:rPr>
        <w:t xml:space="preserve"> group beyond week 25 (C), and no individuals are at risk in the Very </w:t>
      </w:r>
      <w:proofErr w:type="gramStart"/>
      <w:r w:rsidRPr="5CA7425E">
        <w:rPr>
          <w:rFonts w:ascii="Arial" w:eastAsia="Arial" w:hAnsi="Arial" w:cs="Arial"/>
          <w:color w:val="000000" w:themeColor="text1"/>
          <w:sz w:val="18"/>
          <w:szCs w:val="18"/>
        </w:rPr>
        <w:t>High risk</w:t>
      </w:r>
      <w:proofErr w:type="gramEnd"/>
      <w:r w:rsidRPr="5CA7425E">
        <w:rPr>
          <w:rFonts w:ascii="Arial" w:eastAsia="Arial" w:hAnsi="Arial" w:cs="Arial"/>
          <w:color w:val="000000" w:themeColor="text1"/>
          <w:sz w:val="18"/>
          <w:szCs w:val="18"/>
        </w:rPr>
        <w:t xml:space="preserve"> group beyond week 20 (D).</w:t>
      </w:r>
    </w:p>
    <w:p w14:paraId="46A4A778" w14:textId="45EEB3AD" w:rsidR="5CA7425E" w:rsidRDefault="5CA7425E" w:rsidP="001C54E4">
      <w:pPr>
        <w:spacing w:after="0" w:line="240" w:lineRule="auto"/>
        <w:ind w:left="446" w:right="1710"/>
        <w:rPr>
          <w:rFonts w:ascii="Arial" w:eastAsia="Arial" w:hAnsi="Arial" w:cs="Arial"/>
          <w:b/>
          <w:bCs/>
          <w:color w:val="000000" w:themeColor="text1"/>
          <w:sz w:val="18"/>
          <w:szCs w:val="18"/>
        </w:rPr>
      </w:pPr>
    </w:p>
    <w:p w14:paraId="7D6112B7" w14:textId="77777777" w:rsidR="00864742" w:rsidRDefault="00864742" w:rsidP="00213E8A">
      <w:pPr>
        <w:spacing w:after="0" w:line="240" w:lineRule="auto"/>
        <w:ind w:right="1710"/>
        <w:rPr>
          <w:rFonts w:ascii="Arial" w:eastAsia="Arial" w:hAnsi="Arial" w:cs="Arial"/>
          <w:b/>
          <w:bCs/>
          <w:color w:val="000000" w:themeColor="text1"/>
          <w:sz w:val="18"/>
          <w:szCs w:val="18"/>
        </w:rPr>
      </w:pPr>
    </w:p>
    <w:p w14:paraId="16985B03" w14:textId="425B7F52" w:rsidR="614F3F77" w:rsidRDefault="614F3F77" w:rsidP="001C54E4">
      <w:pPr>
        <w:spacing w:after="0" w:line="240" w:lineRule="auto"/>
        <w:ind w:left="1170" w:right="1080"/>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Supplemental Table 7. Adjusted association between time to first skin cancer screening by original SUNTRAC risk group</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20"/>
        <w:gridCol w:w="2130"/>
        <w:gridCol w:w="1950"/>
        <w:gridCol w:w="2040"/>
      </w:tblGrid>
      <w:tr w:rsidR="5CA7425E" w14:paraId="7AC3EBC7" w14:textId="77777777" w:rsidTr="5CA7425E">
        <w:trPr>
          <w:trHeight w:val="300"/>
          <w:jc w:val="center"/>
        </w:trPr>
        <w:tc>
          <w:tcPr>
            <w:tcW w:w="2220" w:type="dxa"/>
            <w:tcBorders>
              <w:top w:val="single" w:sz="6" w:space="0" w:color="auto"/>
              <w:left w:val="single" w:sz="6" w:space="0" w:color="auto"/>
              <w:bottom w:val="single" w:sz="6" w:space="0" w:color="auto"/>
            </w:tcBorders>
            <w:tcMar>
              <w:left w:w="90" w:type="dxa"/>
              <w:right w:w="90" w:type="dxa"/>
            </w:tcMar>
          </w:tcPr>
          <w:p w14:paraId="0AFC6CE1" w14:textId="6440CA46" w:rsidR="5CA7425E" w:rsidRDefault="5CA7425E" w:rsidP="5CA7425E">
            <w:pPr>
              <w:spacing w:after="0" w:line="240" w:lineRule="auto"/>
              <w:rPr>
                <w:rFonts w:ascii="Arial" w:eastAsia="Arial" w:hAnsi="Arial" w:cs="Arial"/>
                <w:color w:val="000000" w:themeColor="text1"/>
                <w:sz w:val="18"/>
                <w:szCs w:val="18"/>
              </w:rPr>
            </w:pPr>
            <w:r w:rsidRPr="5CA7425E">
              <w:rPr>
                <w:rFonts w:ascii="Arial" w:eastAsia="Arial" w:hAnsi="Arial" w:cs="Arial"/>
                <w:color w:val="000000" w:themeColor="text1"/>
                <w:sz w:val="18"/>
                <w:szCs w:val="18"/>
              </w:rPr>
              <w:t> </w:t>
            </w:r>
          </w:p>
        </w:tc>
        <w:tc>
          <w:tcPr>
            <w:tcW w:w="2130" w:type="dxa"/>
            <w:tcBorders>
              <w:top w:val="single" w:sz="6" w:space="0" w:color="auto"/>
              <w:bottom w:val="single" w:sz="6" w:space="0" w:color="auto"/>
            </w:tcBorders>
            <w:tcMar>
              <w:left w:w="90" w:type="dxa"/>
              <w:right w:w="90" w:type="dxa"/>
            </w:tcMar>
          </w:tcPr>
          <w:p w14:paraId="609F5E96" w14:textId="023621BA" w:rsidR="5CA7425E" w:rsidRDefault="5CA7425E" w:rsidP="5CA7425E">
            <w:pPr>
              <w:spacing w:after="0" w:line="240" w:lineRule="auto"/>
              <w:jc w:val="center"/>
              <w:rPr>
                <w:rFonts w:ascii="Arial" w:eastAsia="Arial" w:hAnsi="Arial" w:cs="Arial"/>
                <w:sz w:val="18"/>
                <w:szCs w:val="18"/>
              </w:rPr>
            </w:pPr>
            <w:r w:rsidRPr="5CA7425E">
              <w:rPr>
                <w:rFonts w:ascii="Arial" w:eastAsia="Arial" w:hAnsi="Arial" w:cs="Arial"/>
                <w:b/>
                <w:bCs/>
                <w:color w:val="000000" w:themeColor="text1"/>
                <w:sz w:val="18"/>
                <w:szCs w:val="18"/>
              </w:rPr>
              <w:t>HR</w:t>
            </w:r>
            <w:r w:rsidRPr="5CA7425E">
              <w:rPr>
                <w:rFonts w:ascii="Arial" w:eastAsia="Arial" w:hAnsi="Arial" w:cs="Arial"/>
                <w:sz w:val="18"/>
                <w:szCs w:val="18"/>
                <w:vertAlign w:val="superscript"/>
              </w:rPr>
              <w:t>1</w:t>
            </w:r>
          </w:p>
        </w:tc>
        <w:tc>
          <w:tcPr>
            <w:tcW w:w="1950" w:type="dxa"/>
            <w:tcBorders>
              <w:top w:val="single" w:sz="6" w:space="0" w:color="auto"/>
              <w:bottom w:val="single" w:sz="6" w:space="0" w:color="auto"/>
            </w:tcBorders>
            <w:tcMar>
              <w:left w:w="90" w:type="dxa"/>
              <w:right w:w="90" w:type="dxa"/>
            </w:tcMar>
          </w:tcPr>
          <w:p w14:paraId="366C79B0" w14:textId="1A9AEFE0" w:rsidR="5CA7425E" w:rsidRDefault="5CA7425E" w:rsidP="5CA7425E">
            <w:pPr>
              <w:spacing w:after="0" w:line="240" w:lineRule="auto"/>
              <w:jc w:val="center"/>
              <w:rPr>
                <w:rFonts w:ascii="Arial" w:eastAsia="Arial" w:hAnsi="Arial" w:cs="Arial"/>
                <w:sz w:val="18"/>
                <w:szCs w:val="18"/>
              </w:rPr>
            </w:pPr>
            <w:r w:rsidRPr="5CA7425E">
              <w:rPr>
                <w:rFonts w:ascii="Arial" w:eastAsia="Arial" w:hAnsi="Arial" w:cs="Arial"/>
                <w:b/>
                <w:bCs/>
                <w:color w:val="000000" w:themeColor="text1"/>
                <w:sz w:val="18"/>
                <w:szCs w:val="18"/>
              </w:rPr>
              <w:t>95% CI</w:t>
            </w:r>
            <w:r w:rsidRPr="5CA7425E">
              <w:rPr>
                <w:rFonts w:ascii="Arial" w:eastAsia="Arial" w:hAnsi="Arial" w:cs="Arial"/>
                <w:sz w:val="18"/>
                <w:szCs w:val="18"/>
                <w:vertAlign w:val="superscript"/>
              </w:rPr>
              <w:t>1</w:t>
            </w:r>
          </w:p>
        </w:tc>
        <w:tc>
          <w:tcPr>
            <w:tcW w:w="2040" w:type="dxa"/>
            <w:tcBorders>
              <w:top w:val="single" w:sz="6" w:space="0" w:color="auto"/>
              <w:bottom w:val="single" w:sz="6" w:space="0" w:color="auto"/>
              <w:right w:val="single" w:sz="6" w:space="0" w:color="auto"/>
            </w:tcBorders>
            <w:tcMar>
              <w:left w:w="90" w:type="dxa"/>
              <w:right w:w="90" w:type="dxa"/>
            </w:tcMar>
          </w:tcPr>
          <w:p w14:paraId="2B21B467" w14:textId="0D3BBAD7"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P value</w:t>
            </w:r>
          </w:p>
        </w:tc>
      </w:tr>
      <w:tr w:rsidR="5CA7425E" w14:paraId="76A9DE9C" w14:textId="77777777" w:rsidTr="5CA7425E">
        <w:trPr>
          <w:trHeight w:val="300"/>
          <w:jc w:val="center"/>
        </w:trPr>
        <w:tc>
          <w:tcPr>
            <w:tcW w:w="2220" w:type="dxa"/>
            <w:tcBorders>
              <w:top w:val="single" w:sz="6" w:space="0" w:color="auto"/>
              <w:left w:val="single" w:sz="6" w:space="0" w:color="auto"/>
            </w:tcBorders>
            <w:tcMar>
              <w:left w:w="90" w:type="dxa"/>
              <w:right w:w="90" w:type="dxa"/>
            </w:tcMar>
          </w:tcPr>
          <w:p w14:paraId="6A4CA236" w14:textId="48C8DA7F" w:rsidR="5CA7425E" w:rsidRDefault="5CA7425E" w:rsidP="5CA7425E">
            <w:pPr>
              <w:spacing w:after="0" w:line="240" w:lineRule="auto"/>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 xml:space="preserve">Low risk </w:t>
            </w:r>
          </w:p>
          <w:p w14:paraId="3AD87BF4" w14:textId="5F44185D" w:rsidR="5CA7425E" w:rsidRDefault="5CA7425E" w:rsidP="5CA7425E">
            <w:pPr>
              <w:spacing w:after="0" w:line="240" w:lineRule="auto"/>
              <w:rPr>
                <w:rFonts w:ascii="Arial" w:eastAsia="Arial" w:hAnsi="Arial" w:cs="Arial"/>
                <w:color w:val="000000" w:themeColor="text1"/>
                <w:sz w:val="18"/>
                <w:szCs w:val="18"/>
              </w:rPr>
            </w:pPr>
            <w:r w:rsidRPr="5CA7425E">
              <w:rPr>
                <w:rFonts w:ascii="Arial" w:eastAsia="Arial" w:hAnsi="Arial" w:cs="Arial"/>
                <w:color w:val="000000" w:themeColor="text1"/>
                <w:sz w:val="18"/>
                <w:szCs w:val="18"/>
              </w:rPr>
              <w:t xml:space="preserve">   Post vs. Pre </w:t>
            </w:r>
          </w:p>
        </w:tc>
        <w:tc>
          <w:tcPr>
            <w:tcW w:w="2130" w:type="dxa"/>
            <w:tcBorders>
              <w:top w:val="single" w:sz="6" w:space="0" w:color="auto"/>
            </w:tcBorders>
            <w:tcMar>
              <w:left w:w="90" w:type="dxa"/>
              <w:right w:w="90" w:type="dxa"/>
            </w:tcMar>
          </w:tcPr>
          <w:p w14:paraId="418AD867" w14:textId="3DB9C128" w:rsidR="5CA7425E" w:rsidRDefault="5CA7425E" w:rsidP="5CA7425E">
            <w:pPr>
              <w:spacing w:after="0" w:line="240" w:lineRule="auto"/>
              <w:jc w:val="center"/>
              <w:rPr>
                <w:rFonts w:ascii="Arial" w:eastAsia="Arial" w:hAnsi="Arial" w:cs="Arial"/>
                <w:color w:val="000000" w:themeColor="text1"/>
                <w:sz w:val="18"/>
                <w:szCs w:val="18"/>
              </w:rPr>
            </w:pPr>
          </w:p>
          <w:p w14:paraId="7B0E70BF" w14:textId="5FDE0051"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color w:val="000000" w:themeColor="text1"/>
                <w:sz w:val="18"/>
                <w:szCs w:val="18"/>
              </w:rPr>
              <w:t>1.15</w:t>
            </w:r>
          </w:p>
        </w:tc>
        <w:tc>
          <w:tcPr>
            <w:tcW w:w="1950" w:type="dxa"/>
            <w:tcBorders>
              <w:top w:val="single" w:sz="6" w:space="0" w:color="auto"/>
            </w:tcBorders>
            <w:tcMar>
              <w:left w:w="90" w:type="dxa"/>
              <w:right w:w="90" w:type="dxa"/>
            </w:tcMar>
          </w:tcPr>
          <w:p w14:paraId="73DD00B0" w14:textId="27FD929B" w:rsidR="5CA7425E" w:rsidRDefault="5CA7425E" w:rsidP="5CA7425E">
            <w:pPr>
              <w:spacing w:after="0" w:line="240" w:lineRule="auto"/>
              <w:jc w:val="center"/>
              <w:rPr>
                <w:rFonts w:ascii="Arial" w:eastAsia="Arial" w:hAnsi="Arial" w:cs="Arial"/>
                <w:color w:val="000000" w:themeColor="text1"/>
                <w:sz w:val="18"/>
                <w:szCs w:val="18"/>
              </w:rPr>
            </w:pPr>
          </w:p>
          <w:p w14:paraId="7F6B3C79" w14:textId="5458F3BA"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color w:val="000000" w:themeColor="text1"/>
                <w:sz w:val="18"/>
                <w:szCs w:val="18"/>
              </w:rPr>
              <w:t>0.81, 1.62</w:t>
            </w:r>
          </w:p>
        </w:tc>
        <w:tc>
          <w:tcPr>
            <w:tcW w:w="2040" w:type="dxa"/>
            <w:tcBorders>
              <w:top w:val="single" w:sz="6" w:space="0" w:color="auto"/>
              <w:right w:val="single" w:sz="6" w:space="0" w:color="auto"/>
            </w:tcBorders>
            <w:tcMar>
              <w:left w:w="90" w:type="dxa"/>
              <w:right w:w="90" w:type="dxa"/>
            </w:tcMar>
          </w:tcPr>
          <w:p w14:paraId="6F65B038" w14:textId="5C10FD09" w:rsidR="5CA7425E" w:rsidRDefault="5CA7425E" w:rsidP="5CA7425E">
            <w:pPr>
              <w:spacing w:after="0" w:line="240" w:lineRule="auto"/>
              <w:jc w:val="center"/>
              <w:rPr>
                <w:rFonts w:ascii="Arial" w:eastAsia="Arial" w:hAnsi="Arial" w:cs="Arial"/>
                <w:color w:val="000000" w:themeColor="text1"/>
                <w:sz w:val="18"/>
                <w:szCs w:val="18"/>
              </w:rPr>
            </w:pPr>
          </w:p>
          <w:p w14:paraId="5D3F224A" w14:textId="291F659F"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color w:val="000000" w:themeColor="text1"/>
                <w:sz w:val="18"/>
                <w:szCs w:val="18"/>
              </w:rPr>
              <w:t>0.42</w:t>
            </w:r>
          </w:p>
        </w:tc>
      </w:tr>
      <w:tr w:rsidR="5CA7425E" w14:paraId="1402B439" w14:textId="77777777" w:rsidTr="5CA7425E">
        <w:trPr>
          <w:trHeight w:val="300"/>
          <w:jc w:val="center"/>
        </w:trPr>
        <w:tc>
          <w:tcPr>
            <w:tcW w:w="2220" w:type="dxa"/>
            <w:tcBorders>
              <w:left w:val="single" w:sz="6" w:space="0" w:color="auto"/>
            </w:tcBorders>
            <w:tcMar>
              <w:left w:w="90" w:type="dxa"/>
              <w:right w:w="90" w:type="dxa"/>
            </w:tcMar>
          </w:tcPr>
          <w:p w14:paraId="4148B5E0" w14:textId="7F3D081A" w:rsidR="5CA7425E" w:rsidRDefault="5CA7425E" w:rsidP="5CA7425E">
            <w:pPr>
              <w:spacing w:after="0" w:line="240" w:lineRule="auto"/>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 xml:space="preserve">Medium risk </w:t>
            </w:r>
          </w:p>
          <w:p w14:paraId="752D3274" w14:textId="2F7FD4F0" w:rsidR="5CA7425E" w:rsidRDefault="5CA7425E" w:rsidP="5CA7425E">
            <w:pPr>
              <w:spacing w:after="0" w:line="240" w:lineRule="auto"/>
              <w:ind w:left="180"/>
              <w:rPr>
                <w:rFonts w:ascii="Arial" w:eastAsia="Arial" w:hAnsi="Arial" w:cs="Arial"/>
                <w:color w:val="000000" w:themeColor="text1"/>
                <w:sz w:val="18"/>
                <w:szCs w:val="18"/>
              </w:rPr>
            </w:pPr>
            <w:r w:rsidRPr="5CA7425E">
              <w:rPr>
                <w:rFonts w:ascii="Arial" w:eastAsia="Arial" w:hAnsi="Arial" w:cs="Arial"/>
                <w:color w:val="000000" w:themeColor="text1"/>
                <w:sz w:val="18"/>
                <w:szCs w:val="18"/>
              </w:rPr>
              <w:t>Post vs. Pre </w:t>
            </w:r>
          </w:p>
        </w:tc>
        <w:tc>
          <w:tcPr>
            <w:tcW w:w="2130" w:type="dxa"/>
            <w:tcMar>
              <w:left w:w="90" w:type="dxa"/>
              <w:right w:w="90" w:type="dxa"/>
            </w:tcMar>
          </w:tcPr>
          <w:p w14:paraId="27174100" w14:textId="11DDCD82" w:rsidR="5CA7425E" w:rsidRDefault="5CA7425E" w:rsidP="5CA7425E">
            <w:pPr>
              <w:spacing w:after="0" w:line="240" w:lineRule="auto"/>
              <w:jc w:val="center"/>
              <w:rPr>
                <w:rFonts w:ascii="Arial" w:eastAsia="Arial" w:hAnsi="Arial" w:cs="Arial"/>
                <w:color w:val="000000" w:themeColor="text1"/>
                <w:sz w:val="18"/>
                <w:szCs w:val="18"/>
              </w:rPr>
            </w:pPr>
          </w:p>
          <w:p w14:paraId="2EB555F9" w14:textId="617F8225"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color w:val="000000" w:themeColor="text1"/>
                <w:sz w:val="18"/>
                <w:szCs w:val="18"/>
              </w:rPr>
              <w:t>1.39</w:t>
            </w:r>
          </w:p>
        </w:tc>
        <w:tc>
          <w:tcPr>
            <w:tcW w:w="1950" w:type="dxa"/>
            <w:tcMar>
              <w:left w:w="90" w:type="dxa"/>
              <w:right w:w="90" w:type="dxa"/>
            </w:tcMar>
          </w:tcPr>
          <w:p w14:paraId="3C684038" w14:textId="43F85D0B" w:rsidR="5CA7425E" w:rsidRDefault="5CA7425E" w:rsidP="5CA7425E">
            <w:pPr>
              <w:spacing w:after="0" w:line="240" w:lineRule="auto"/>
              <w:jc w:val="center"/>
              <w:rPr>
                <w:rFonts w:ascii="Arial" w:eastAsia="Arial" w:hAnsi="Arial" w:cs="Arial"/>
                <w:color w:val="000000" w:themeColor="text1"/>
                <w:sz w:val="18"/>
                <w:szCs w:val="18"/>
              </w:rPr>
            </w:pPr>
          </w:p>
          <w:p w14:paraId="2CC5BF60" w14:textId="26ADAC0D"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color w:val="000000" w:themeColor="text1"/>
                <w:sz w:val="18"/>
                <w:szCs w:val="18"/>
              </w:rPr>
              <w:t>0.99, 1.95</w:t>
            </w:r>
          </w:p>
        </w:tc>
        <w:tc>
          <w:tcPr>
            <w:tcW w:w="2040" w:type="dxa"/>
            <w:tcBorders>
              <w:right w:val="single" w:sz="6" w:space="0" w:color="auto"/>
            </w:tcBorders>
            <w:tcMar>
              <w:left w:w="90" w:type="dxa"/>
              <w:right w:w="90" w:type="dxa"/>
            </w:tcMar>
          </w:tcPr>
          <w:p w14:paraId="330B1058" w14:textId="6D8E4093" w:rsidR="5CA7425E" w:rsidRDefault="5CA7425E" w:rsidP="5CA7425E">
            <w:pPr>
              <w:spacing w:after="0" w:line="240" w:lineRule="auto"/>
              <w:jc w:val="center"/>
              <w:rPr>
                <w:rFonts w:ascii="Arial" w:eastAsia="Arial" w:hAnsi="Arial" w:cs="Arial"/>
                <w:color w:val="000000" w:themeColor="text1"/>
                <w:sz w:val="18"/>
                <w:szCs w:val="18"/>
              </w:rPr>
            </w:pPr>
          </w:p>
          <w:p w14:paraId="61A72202" w14:textId="0D878CC4"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color w:val="000000" w:themeColor="text1"/>
                <w:sz w:val="18"/>
                <w:szCs w:val="18"/>
              </w:rPr>
              <w:t>0.05</w:t>
            </w:r>
          </w:p>
        </w:tc>
      </w:tr>
      <w:tr w:rsidR="5CA7425E" w14:paraId="48461C45" w14:textId="77777777" w:rsidTr="5CA7425E">
        <w:trPr>
          <w:trHeight w:val="300"/>
          <w:jc w:val="center"/>
        </w:trPr>
        <w:tc>
          <w:tcPr>
            <w:tcW w:w="2220" w:type="dxa"/>
            <w:tcBorders>
              <w:left w:val="single" w:sz="6" w:space="0" w:color="auto"/>
            </w:tcBorders>
            <w:tcMar>
              <w:left w:w="90" w:type="dxa"/>
              <w:right w:w="90" w:type="dxa"/>
            </w:tcMar>
          </w:tcPr>
          <w:p w14:paraId="194C3932" w14:textId="184218CB" w:rsidR="5CA7425E" w:rsidRDefault="5CA7425E" w:rsidP="5CA7425E">
            <w:pPr>
              <w:spacing w:after="0" w:line="240" w:lineRule="auto"/>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 xml:space="preserve">High risk </w:t>
            </w:r>
          </w:p>
          <w:p w14:paraId="0BE38EE5" w14:textId="73E50438" w:rsidR="5CA7425E" w:rsidRDefault="5CA7425E" w:rsidP="5CA7425E">
            <w:pPr>
              <w:spacing w:after="0" w:line="240" w:lineRule="auto"/>
              <w:ind w:left="180"/>
              <w:rPr>
                <w:rFonts w:ascii="Arial" w:eastAsia="Arial" w:hAnsi="Arial" w:cs="Arial"/>
                <w:color w:val="000000" w:themeColor="text1"/>
                <w:sz w:val="18"/>
                <w:szCs w:val="18"/>
              </w:rPr>
            </w:pPr>
            <w:r w:rsidRPr="5CA7425E">
              <w:rPr>
                <w:rFonts w:ascii="Arial" w:eastAsia="Arial" w:hAnsi="Arial" w:cs="Arial"/>
                <w:color w:val="000000" w:themeColor="text1"/>
                <w:sz w:val="18"/>
                <w:szCs w:val="18"/>
              </w:rPr>
              <w:t>Post vs. Pre </w:t>
            </w:r>
          </w:p>
        </w:tc>
        <w:tc>
          <w:tcPr>
            <w:tcW w:w="2130" w:type="dxa"/>
            <w:tcMar>
              <w:left w:w="90" w:type="dxa"/>
              <w:right w:w="90" w:type="dxa"/>
            </w:tcMar>
          </w:tcPr>
          <w:p w14:paraId="783C69C8" w14:textId="2CFD1CD8" w:rsidR="5CA7425E" w:rsidRDefault="5CA7425E" w:rsidP="5CA7425E">
            <w:pPr>
              <w:spacing w:after="0" w:line="240" w:lineRule="auto"/>
              <w:jc w:val="center"/>
              <w:rPr>
                <w:rFonts w:ascii="Arial" w:eastAsia="Arial" w:hAnsi="Arial" w:cs="Arial"/>
                <w:color w:val="000000" w:themeColor="text1"/>
                <w:sz w:val="18"/>
                <w:szCs w:val="18"/>
              </w:rPr>
            </w:pPr>
          </w:p>
          <w:p w14:paraId="4F6DC0B4" w14:textId="73066157"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color w:val="000000" w:themeColor="text1"/>
                <w:sz w:val="18"/>
                <w:szCs w:val="18"/>
              </w:rPr>
              <w:t>1.98</w:t>
            </w:r>
          </w:p>
        </w:tc>
        <w:tc>
          <w:tcPr>
            <w:tcW w:w="1950" w:type="dxa"/>
            <w:tcMar>
              <w:left w:w="90" w:type="dxa"/>
              <w:right w:w="90" w:type="dxa"/>
            </w:tcMar>
          </w:tcPr>
          <w:p w14:paraId="40EDCF80" w14:textId="2182A44B" w:rsidR="5CA7425E" w:rsidRDefault="5CA7425E" w:rsidP="5CA7425E">
            <w:pPr>
              <w:spacing w:after="0" w:line="240" w:lineRule="auto"/>
              <w:jc w:val="center"/>
              <w:rPr>
                <w:rFonts w:ascii="Arial" w:eastAsia="Arial" w:hAnsi="Arial" w:cs="Arial"/>
                <w:color w:val="000000" w:themeColor="text1"/>
                <w:sz w:val="18"/>
                <w:szCs w:val="18"/>
              </w:rPr>
            </w:pPr>
          </w:p>
          <w:p w14:paraId="27744E8A" w14:textId="23CFF0AA"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color w:val="000000" w:themeColor="text1"/>
                <w:sz w:val="18"/>
                <w:szCs w:val="18"/>
              </w:rPr>
              <w:t>1.39, 2.82</w:t>
            </w:r>
          </w:p>
        </w:tc>
        <w:tc>
          <w:tcPr>
            <w:tcW w:w="2040" w:type="dxa"/>
            <w:tcBorders>
              <w:right w:val="single" w:sz="6" w:space="0" w:color="auto"/>
            </w:tcBorders>
            <w:tcMar>
              <w:left w:w="90" w:type="dxa"/>
              <w:right w:w="90" w:type="dxa"/>
            </w:tcMar>
          </w:tcPr>
          <w:p w14:paraId="7D4D75AA" w14:textId="6FE65E37" w:rsidR="5CA7425E" w:rsidRDefault="5CA7425E" w:rsidP="5CA7425E">
            <w:pPr>
              <w:spacing w:after="0" w:line="240" w:lineRule="auto"/>
              <w:jc w:val="center"/>
              <w:rPr>
                <w:rFonts w:ascii="Arial" w:eastAsia="Arial" w:hAnsi="Arial" w:cs="Arial"/>
                <w:color w:val="000000" w:themeColor="text1"/>
                <w:sz w:val="18"/>
                <w:szCs w:val="18"/>
              </w:rPr>
            </w:pPr>
          </w:p>
          <w:p w14:paraId="316FA12A" w14:textId="39043668"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color w:val="000000" w:themeColor="text1"/>
                <w:sz w:val="18"/>
                <w:szCs w:val="18"/>
              </w:rPr>
              <w:t>&lt;0.001</w:t>
            </w:r>
          </w:p>
        </w:tc>
      </w:tr>
      <w:tr w:rsidR="5CA7425E" w14:paraId="75932753" w14:textId="77777777" w:rsidTr="5CA7425E">
        <w:trPr>
          <w:trHeight w:val="300"/>
          <w:jc w:val="center"/>
        </w:trPr>
        <w:tc>
          <w:tcPr>
            <w:tcW w:w="2220" w:type="dxa"/>
            <w:tcBorders>
              <w:left w:val="single" w:sz="6" w:space="0" w:color="auto"/>
              <w:bottom w:val="single" w:sz="6" w:space="0" w:color="auto"/>
            </w:tcBorders>
            <w:tcMar>
              <w:left w:w="90" w:type="dxa"/>
              <w:right w:w="90" w:type="dxa"/>
            </w:tcMar>
          </w:tcPr>
          <w:p w14:paraId="1D553DA7" w14:textId="1A85F514" w:rsidR="5CA7425E" w:rsidRDefault="5CA7425E" w:rsidP="5CA7425E">
            <w:pPr>
              <w:spacing w:after="0" w:line="240" w:lineRule="auto"/>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 xml:space="preserve">Very High risk </w:t>
            </w:r>
          </w:p>
          <w:p w14:paraId="6D6B5513" w14:textId="6C167AF4" w:rsidR="5CA7425E" w:rsidRDefault="5CA7425E" w:rsidP="5CA7425E">
            <w:pPr>
              <w:spacing w:after="0" w:line="240" w:lineRule="auto"/>
              <w:ind w:left="180"/>
              <w:rPr>
                <w:rFonts w:ascii="Arial" w:eastAsia="Arial" w:hAnsi="Arial" w:cs="Arial"/>
                <w:color w:val="000000" w:themeColor="text1"/>
                <w:sz w:val="18"/>
                <w:szCs w:val="18"/>
              </w:rPr>
            </w:pPr>
            <w:r w:rsidRPr="5CA7425E">
              <w:rPr>
                <w:rFonts w:ascii="Arial" w:eastAsia="Arial" w:hAnsi="Arial" w:cs="Arial"/>
                <w:color w:val="000000" w:themeColor="text1"/>
                <w:sz w:val="18"/>
                <w:szCs w:val="18"/>
              </w:rPr>
              <w:t>Post vs. Pre </w:t>
            </w:r>
          </w:p>
        </w:tc>
        <w:tc>
          <w:tcPr>
            <w:tcW w:w="2130" w:type="dxa"/>
            <w:tcBorders>
              <w:bottom w:val="single" w:sz="6" w:space="0" w:color="auto"/>
            </w:tcBorders>
            <w:tcMar>
              <w:left w:w="90" w:type="dxa"/>
              <w:right w:w="90" w:type="dxa"/>
            </w:tcMar>
          </w:tcPr>
          <w:p w14:paraId="0CFF9BF7" w14:textId="4DC5CC7F" w:rsidR="5CA7425E" w:rsidRDefault="5CA7425E" w:rsidP="5CA7425E">
            <w:pPr>
              <w:spacing w:after="0" w:line="240" w:lineRule="auto"/>
              <w:jc w:val="center"/>
              <w:rPr>
                <w:rFonts w:ascii="Arial" w:eastAsia="Arial" w:hAnsi="Arial" w:cs="Arial"/>
                <w:color w:val="000000" w:themeColor="text1"/>
                <w:sz w:val="18"/>
                <w:szCs w:val="18"/>
              </w:rPr>
            </w:pPr>
          </w:p>
          <w:p w14:paraId="61072330" w14:textId="3CC7E14E"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color w:val="000000" w:themeColor="text1"/>
                <w:sz w:val="18"/>
                <w:szCs w:val="18"/>
              </w:rPr>
              <w:t>2.17</w:t>
            </w:r>
          </w:p>
        </w:tc>
        <w:tc>
          <w:tcPr>
            <w:tcW w:w="1950" w:type="dxa"/>
            <w:tcBorders>
              <w:bottom w:val="single" w:sz="6" w:space="0" w:color="auto"/>
            </w:tcBorders>
            <w:tcMar>
              <w:left w:w="90" w:type="dxa"/>
              <w:right w:w="90" w:type="dxa"/>
            </w:tcMar>
          </w:tcPr>
          <w:p w14:paraId="3D8E4F6C" w14:textId="748D5425" w:rsidR="5CA7425E" w:rsidRDefault="5CA7425E" w:rsidP="5CA7425E">
            <w:pPr>
              <w:spacing w:after="0" w:line="240" w:lineRule="auto"/>
              <w:jc w:val="center"/>
              <w:rPr>
                <w:rFonts w:ascii="Arial" w:eastAsia="Arial" w:hAnsi="Arial" w:cs="Arial"/>
                <w:color w:val="000000" w:themeColor="text1"/>
                <w:sz w:val="18"/>
                <w:szCs w:val="18"/>
              </w:rPr>
            </w:pPr>
          </w:p>
          <w:p w14:paraId="1B2D8E8D" w14:textId="15D9798A"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color w:val="000000" w:themeColor="text1"/>
                <w:sz w:val="18"/>
                <w:szCs w:val="18"/>
              </w:rPr>
              <w:t>1.21, 3.86</w:t>
            </w:r>
          </w:p>
        </w:tc>
        <w:tc>
          <w:tcPr>
            <w:tcW w:w="2040" w:type="dxa"/>
            <w:tcBorders>
              <w:bottom w:val="single" w:sz="6" w:space="0" w:color="auto"/>
              <w:right w:val="single" w:sz="6" w:space="0" w:color="auto"/>
            </w:tcBorders>
            <w:tcMar>
              <w:left w:w="90" w:type="dxa"/>
              <w:right w:w="90" w:type="dxa"/>
            </w:tcMar>
          </w:tcPr>
          <w:p w14:paraId="493EAD97" w14:textId="5492EB48" w:rsidR="5CA7425E" w:rsidRDefault="5CA7425E" w:rsidP="5CA7425E">
            <w:pPr>
              <w:spacing w:after="0" w:line="240" w:lineRule="auto"/>
              <w:jc w:val="center"/>
              <w:rPr>
                <w:rFonts w:ascii="Arial" w:eastAsia="Arial" w:hAnsi="Arial" w:cs="Arial"/>
                <w:color w:val="000000" w:themeColor="text1"/>
                <w:sz w:val="18"/>
                <w:szCs w:val="18"/>
              </w:rPr>
            </w:pPr>
          </w:p>
          <w:p w14:paraId="29308956" w14:textId="3A7FC1A4"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color w:val="000000" w:themeColor="text1"/>
                <w:sz w:val="18"/>
                <w:szCs w:val="18"/>
              </w:rPr>
              <w:t>&lt;0.001</w:t>
            </w:r>
          </w:p>
        </w:tc>
      </w:tr>
    </w:tbl>
    <w:p w14:paraId="64218A63" w14:textId="7D0EA20E" w:rsidR="614F3F77" w:rsidRDefault="614F3F77" w:rsidP="5CA7425E">
      <w:pPr>
        <w:spacing w:after="0" w:line="240" w:lineRule="auto"/>
        <w:ind w:left="1170" w:right="1170"/>
        <w:rPr>
          <w:rFonts w:ascii="Arial" w:eastAsia="Arial" w:hAnsi="Arial" w:cs="Arial"/>
          <w:color w:val="000000" w:themeColor="text1"/>
          <w:sz w:val="18"/>
          <w:szCs w:val="18"/>
        </w:rPr>
      </w:pPr>
      <w:r w:rsidRPr="5CA7425E">
        <w:rPr>
          <w:rFonts w:ascii="Arial" w:eastAsia="Arial" w:hAnsi="Arial" w:cs="Arial"/>
          <w:color w:val="000000" w:themeColor="text1"/>
          <w:sz w:val="18"/>
          <w:szCs w:val="18"/>
          <w:vertAlign w:val="superscript"/>
        </w:rPr>
        <w:t>1</w:t>
      </w:r>
      <w:r w:rsidRPr="5CA7425E">
        <w:rPr>
          <w:rFonts w:ascii="Arial" w:eastAsia="Arial" w:hAnsi="Arial" w:cs="Arial"/>
          <w:color w:val="000000" w:themeColor="text1"/>
          <w:sz w:val="18"/>
          <w:szCs w:val="18"/>
        </w:rPr>
        <w:t xml:space="preserve"> Hazard Ratio (HR) and Confidence Interval (CI) estimated from Cox proportional hazards model adjusted for intervention group, original SUNTRAC risk level, year of transplant, and interaction term (intervention group x SUNTRAC risk level)</w:t>
      </w:r>
    </w:p>
    <w:p w14:paraId="01ABADC7" w14:textId="240F56BC" w:rsidR="614F3F77" w:rsidRDefault="614F3F77" w:rsidP="5CA7425E">
      <w:pPr>
        <w:spacing w:after="0" w:line="240" w:lineRule="auto"/>
        <w:ind w:left="1170" w:right="1170"/>
        <w:rPr>
          <w:rFonts w:ascii="Arial" w:eastAsia="Arial" w:hAnsi="Arial" w:cs="Arial"/>
          <w:color w:val="000000" w:themeColor="text1"/>
          <w:sz w:val="18"/>
          <w:szCs w:val="18"/>
        </w:rPr>
      </w:pPr>
      <w:r w:rsidRPr="5CA7425E">
        <w:rPr>
          <w:rFonts w:ascii="Arial" w:eastAsia="Arial" w:hAnsi="Arial" w:cs="Arial"/>
          <w:color w:val="000000" w:themeColor="text1"/>
          <w:sz w:val="18"/>
          <w:szCs w:val="18"/>
          <w:vertAlign w:val="superscript"/>
        </w:rPr>
        <w:t xml:space="preserve">2 </w:t>
      </w:r>
      <w:r w:rsidRPr="5CA7425E">
        <w:rPr>
          <w:rFonts w:ascii="Arial" w:eastAsia="Arial" w:hAnsi="Arial" w:cs="Arial"/>
          <w:color w:val="000000" w:themeColor="text1"/>
          <w:sz w:val="18"/>
          <w:szCs w:val="18"/>
        </w:rPr>
        <w:t>Sensitivity analysis excludes COVID-19 period from March 1, 2020, to December 31, 2021</w:t>
      </w:r>
    </w:p>
    <w:p w14:paraId="3A11ED25" w14:textId="2CB6FC29" w:rsidR="5F30829E" w:rsidRDefault="5F30829E" w:rsidP="5CA7425E">
      <w:pPr>
        <w:spacing w:after="0" w:line="240" w:lineRule="auto"/>
        <w:ind w:left="630" w:right="810"/>
        <w:rPr>
          <w:rFonts w:ascii="Arial" w:eastAsia="Arial" w:hAnsi="Arial" w:cs="Arial"/>
          <w:color w:val="000000" w:themeColor="text1"/>
          <w:sz w:val="18"/>
          <w:szCs w:val="18"/>
        </w:rPr>
      </w:pPr>
      <w:r w:rsidRPr="5CA7425E">
        <w:rPr>
          <w:rStyle w:val="normaltextrun"/>
          <w:rFonts w:ascii="Arial" w:eastAsia="Arial" w:hAnsi="Arial" w:cs="Arial"/>
          <w:b/>
          <w:bCs/>
          <w:color w:val="000000" w:themeColor="text1"/>
          <w:sz w:val="18"/>
          <w:szCs w:val="18"/>
        </w:rPr>
        <w:lastRenderedPageBreak/>
        <w:t>Table 2. Associations between patient characteristics and risk of first detected skin cancer after solid organ transplant</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85"/>
        <w:gridCol w:w="1860"/>
        <w:gridCol w:w="2085"/>
        <w:gridCol w:w="690"/>
        <w:gridCol w:w="1035"/>
        <w:gridCol w:w="960"/>
      </w:tblGrid>
      <w:tr w:rsidR="5CA7425E" w14:paraId="4326E54E" w14:textId="77777777" w:rsidTr="5CA7425E">
        <w:trPr>
          <w:trHeight w:val="300"/>
          <w:jc w:val="center"/>
        </w:trPr>
        <w:tc>
          <w:tcPr>
            <w:tcW w:w="2685" w:type="dxa"/>
            <w:tcBorders>
              <w:top w:val="single" w:sz="6" w:space="0" w:color="auto"/>
              <w:bottom w:val="single" w:sz="6" w:space="0" w:color="auto"/>
            </w:tcBorders>
            <w:tcMar>
              <w:left w:w="60" w:type="dxa"/>
              <w:right w:w="60" w:type="dxa"/>
            </w:tcMar>
          </w:tcPr>
          <w:p w14:paraId="5523374C" w14:textId="339F3239" w:rsidR="5CA7425E" w:rsidRDefault="5CA7425E" w:rsidP="5CA7425E">
            <w:pPr>
              <w:spacing w:after="0" w:line="240" w:lineRule="auto"/>
              <w:jc w:val="center"/>
              <w:rPr>
                <w:rFonts w:ascii="Arial" w:eastAsia="Arial" w:hAnsi="Arial" w:cs="Arial"/>
                <w:sz w:val="18"/>
                <w:szCs w:val="18"/>
              </w:rPr>
            </w:pPr>
          </w:p>
        </w:tc>
        <w:tc>
          <w:tcPr>
            <w:tcW w:w="1860" w:type="dxa"/>
            <w:tcBorders>
              <w:top w:val="single" w:sz="6" w:space="0" w:color="auto"/>
              <w:bottom w:val="single" w:sz="6" w:space="0" w:color="auto"/>
            </w:tcBorders>
            <w:tcMar>
              <w:left w:w="60" w:type="dxa"/>
              <w:right w:w="60" w:type="dxa"/>
            </w:tcMar>
          </w:tcPr>
          <w:p w14:paraId="08FB5A94" w14:textId="46C5AD2A" w:rsidR="5CA7425E" w:rsidRDefault="5CA7425E" w:rsidP="5CA7425E">
            <w:pPr>
              <w:spacing w:after="0" w:line="240" w:lineRule="auto"/>
              <w:jc w:val="center"/>
              <w:rPr>
                <w:rFonts w:ascii="Arial" w:eastAsia="Arial" w:hAnsi="Arial" w:cs="Arial"/>
                <w:sz w:val="18"/>
                <w:szCs w:val="18"/>
              </w:rPr>
            </w:pPr>
            <w:r w:rsidRPr="5CA7425E">
              <w:rPr>
                <w:rFonts w:ascii="Arial" w:eastAsia="Arial" w:hAnsi="Arial" w:cs="Arial"/>
                <w:b/>
                <w:bCs/>
                <w:sz w:val="18"/>
                <w:szCs w:val="18"/>
              </w:rPr>
              <w:t>Pre-Implementation</w:t>
            </w:r>
            <w:r w:rsidRPr="5CA7425E">
              <w:rPr>
                <w:rFonts w:ascii="Arial" w:eastAsia="Arial" w:hAnsi="Arial" w:cs="Arial"/>
                <w:b/>
                <w:bCs/>
                <w:sz w:val="18"/>
                <w:szCs w:val="18"/>
                <w:vertAlign w:val="superscript"/>
              </w:rPr>
              <w:t>1</w:t>
            </w:r>
            <w:r w:rsidRPr="5CA7425E">
              <w:rPr>
                <w:rFonts w:ascii="Arial" w:eastAsia="Arial" w:hAnsi="Arial" w:cs="Arial"/>
                <w:b/>
                <w:bCs/>
                <w:sz w:val="18"/>
                <w:szCs w:val="18"/>
              </w:rPr>
              <w:t xml:space="preserve"> No.</w:t>
            </w:r>
          </w:p>
        </w:tc>
        <w:tc>
          <w:tcPr>
            <w:tcW w:w="2085" w:type="dxa"/>
            <w:tcBorders>
              <w:top w:val="single" w:sz="6" w:space="0" w:color="auto"/>
              <w:bottom w:val="single" w:sz="6" w:space="0" w:color="auto"/>
            </w:tcBorders>
            <w:tcMar>
              <w:left w:w="60" w:type="dxa"/>
              <w:right w:w="60" w:type="dxa"/>
            </w:tcMar>
          </w:tcPr>
          <w:p w14:paraId="39BEDCE3" w14:textId="0D45034B" w:rsidR="5CA7425E" w:rsidRDefault="5CA7425E" w:rsidP="5CA7425E">
            <w:pPr>
              <w:spacing w:after="0" w:line="240" w:lineRule="auto"/>
              <w:jc w:val="center"/>
              <w:rPr>
                <w:rFonts w:ascii="Arial" w:eastAsia="Arial" w:hAnsi="Arial" w:cs="Arial"/>
                <w:sz w:val="18"/>
                <w:szCs w:val="18"/>
              </w:rPr>
            </w:pPr>
            <w:r w:rsidRPr="5CA7425E">
              <w:rPr>
                <w:rFonts w:ascii="Arial" w:eastAsia="Arial" w:hAnsi="Arial" w:cs="Arial"/>
                <w:b/>
                <w:bCs/>
                <w:sz w:val="18"/>
                <w:szCs w:val="18"/>
              </w:rPr>
              <w:t>Post-Implementation</w:t>
            </w:r>
            <w:r w:rsidRPr="5CA7425E">
              <w:rPr>
                <w:rFonts w:ascii="Arial" w:eastAsia="Arial" w:hAnsi="Arial" w:cs="Arial"/>
                <w:b/>
                <w:bCs/>
                <w:sz w:val="18"/>
                <w:szCs w:val="18"/>
                <w:vertAlign w:val="superscript"/>
              </w:rPr>
              <w:t>1</w:t>
            </w:r>
            <w:r w:rsidRPr="5CA7425E">
              <w:rPr>
                <w:rFonts w:ascii="Arial" w:eastAsia="Arial" w:hAnsi="Arial" w:cs="Arial"/>
                <w:b/>
                <w:bCs/>
                <w:sz w:val="18"/>
                <w:szCs w:val="18"/>
              </w:rPr>
              <w:t xml:space="preserve"> No.</w:t>
            </w:r>
          </w:p>
        </w:tc>
        <w:tc>
          <w:tcPr>
            <w:tcW w:w="690" w:type="dxa"/>
            <w:tcBorders>
              <w:top w:val="single" w:sz="6" w:space="0" w:color="auto"/>
              <w:bottom w:val="single" w:sz="6" w:space="0" w:color="auto"/>
            </w:tcBorders>
            <w:tcMar>
              <w:left w:w="60" w:type="dxa"/>
              <w:right w:w="60" w:type="dxa"/>
            </w:tcMar>
          </w:tcPr>
          <w:p w14:paraId="4171F22A" w14:textId="08DB71C0" w:rsidR="5CA7425E" w:rsidRDefault="5CA7425E" w:rsidP="5CA7425E">
            <w:pPr>
              <w:spacing w:after="0" w:line="240" w:lineRule="auto"/>
              <w:jc w:val="center"/>
              <w:rPr>
                <w:rFonts w:ascii="Arial" w:eastAsia="Arial" w:hAnsi="Arial" w:cs="Arial"/>
                <w:sz w:val="18"/>
                <w:szCs w:val="18"/>
              </w:rPr>
            </w:pPr>
            <w:r w:rsidRPr="5CA7425E">
              <w:rPr>
                <w:rFonts w:ascii="Arial" w:eastAsia="Arial" w:hAnsi="Arial" w:cs="Arial"/>
                <w:b/>
                <w:bCs/>
                <w:sz w:val="18"/>
                <w:szCs w:val="18"/>
              </w:rPr>
              <w:t>HR</w:t>
            </w:r>
            <w:r w:rsidRPr="5CA7425E">
              <w:rPr>
                <w:rFonts w:ascii="Arial" w:eastAsia="Arial" w:hAnsi="Arial" w:cs="Arial"/>
                <w:b/>
                <w:bCs/>
                <w:sz w:val="18"/>
                <w:szCs w:val="18"/>
                <w:vertAlign w:val="superscript"/>
              </w:rPr>
              <w:t>2,3</w:t>
            </w:r>
          </w:p>
        </w:tc>
        <w:tc>
          <w:tcPr>
            <w:tcW w:w="1035" w:type="dxa"/>
            <w:tcBorders>
              <w:top w:val="single" w:sz="6" w:space="0" w:color="auto"/>
              <w:bottom w:val="single" w:sz="6" w:space="0" w:color="auto"/>
            </w:tcBorders>
            <w:tcMar>
              <w:left w:w="60" w:type="dxa"/>
              <w:right w:w="60" w:type="dxa"/>
            </w:tcMar>
          </w:tcPr>
          <w:p w14:paraId="623528FC" w14:textId="171E4118" w:rsidR="5CA7425E" w:rsidRDefault="5CA7425E" w:rsidP="5CA7425E">
            <w:pPr>
              <w:spacing w:after="0" w:line="240" w:lineRule="auto"/>
              <w:jc w:val="center"/>
              <w:rPr>
                <w:rFonts w:ascii="Arial" w:eastAsia="Arial" w:hAnsi="Arial" w:cs="Arial"/>
                <w:sz w:val="18"/>
                <w:szCs w:val="18"/>
              </w:rPr>
            </w:pPr>
            <w:r w:rsidRPr="5CA7425E">
              <w:rPr>
                <w:rFonts w:ascii="Arial" w:eastAsia="Arial" w:hAnsi="Arial" w:cs="Arial"/>
                <w:b/>
                <w:bCs/>
                <w:sz w:val="18"/>
                <w:szCs w:val="18"/>
              </w:rPr>
              <w:t>95% CI</w:t>
            </w:r>
            <w:r w:rsidRPr="5CA7425E">
              <w:rPr>
                <w:rFonts w:ascii="Arial" w:eastAsia="Arial" w:hAnsi="Arial" w:cs="Arial"/>
                <w:b/>
                <w:bCs/>
                <w:sz w:val="18"/>
                <w:szCs w:val="18"/>
                <w:vertAlign w:val="superscript"/>
              </w:rPr>
              <w:t>2,3</w:t>
            </w:r>
          </w:p>
        </w:tc>
        <w:tc>
          <w:tcPr>
            <w:tcW w:w="960" w:type="dxa"/>
            <w:tcBorders>
              <w:top w:val="single" w:sz="6" w:space="0" w:color="auto"/>
              <w:bottom w:val="single" w:sz="6" w:space="0" w:color="auto"/>
            </w:tcBorders>
            <w:tcMar>
              <w:left w:w="60" w:type="dxa"/>
              <w:right w:w="60" w:type="dxa"/>
            </w:tcMar>
          </w:tcPr>
          <w:p w14:paraId="6A05962B" w14:textId="4AC973BE" w:rsidR="5CA7425E" w:rsidRDefault="5CA7425E" w:rsidP="5CA7425E">
            <w:pPr>
              <w:spacing w:after="0" w:line="240" w:lineRule="auto"/>
              <w:jc w:val="center"/>
              <w:rPr>
                <w:rFonts w:ascii="Arial" w:eastAsia="Arial" w:hAnsi="Arial" w:cs="Arial"/>
                <w:sz w:val="18"/>
                <w:szCs w:val="18"/>
              </w:rPr>
            </w:pPr>
            <w:r w:rsidRPr="5CA7425E">
              <w:rPr>
                <w:rFonts w:ascii="Arial" w:eastAsia="Arial" w:hAnsi="Arial" w:cs="Arial"/>
                <w:b/>
                <w:bCs/>
                <w:sz w:val="18"/>
                <w:szCs w:val="18"/>
              </w:rPr>
              <w:t>P value</w:t>
            </w:r>
          </w:p>
        </w:tc>
      </w:tr>
      <w:tr w:rsidR="5CA7425E" w14:paraId="596348EE" w14:textId="77777777" w:rsidTr="5CA7425E">
        <w:trPr>
          <w:trHeight w:val="300"/>
          <w:jc w:val="center"/>
        </w:trPr>
        <w:tc>
          <w:tcPr>
            <w:tcW w:w="2685" w:type="dxa"/>
            <w:tcBorders>
              <w:top w:val="single" w:sz="6" w:space="0" w:color="auto"/>
            </w:tcBorders>
            <w:tcMar>
              <w:left w:w="60" w:type="dxa"/>
              <w:right w:w="60" w:type="dxa"/>
            </w:tcMar>
          </w:tcPr>
          <w:p w14:paraId="44A760AB" w14:textId="3D7C1DC4" w:rsidR="5CA7425E" w:rsidRDefault="5CA7425E" w:rsidP="5CA7425E">
            <w:pPr>
              <w:keepNext/>
              <w:spacing w:after="0" w:line="240" w:lineRule="auto"/>
              <w:rPr>
                <w:rFonts w:ascii="Arial" w:eastAsia="Arial" w:hAnsi="Arial" w:cs="Arial"/>
                <w:sz w:val="18"/>
                <w:szCs w:val="18"/>
              </w:rPr>
            </w:pPr>
            <w:r w:rsidRPr="5CA7425E">
              <w:rPr>
                <w:rFonts w:ascii="Arial" w:eastAsia="Arial" w:hAnsi="Arial" w:cs="Arial"/>
                <w:b/>
                <w:bCs/>
                <w:sz w:val="18"/>
                <w:szCs w:val="18"/>
              </w:rPr>
              <w:t>KP-SUNTRAC intervention group</w:t>
            </w:r>
          </w:p>
        </w:tc>
        <w:tc>
          <w:tcPr>
            <w:tcW w:w="1860" w:type="dxa"/>
            <w:tcBorders>
              <w:top w:val="single" w:sz="6" w:space="0" w:color="auto"/>
            </w:tcBorders>
            <w:tcMar>
              <w:left w:w="60" w:type="dxa"/>
              <w:right w:w="60" w:type="dxa"/>
            </w:tcMar>
          </w:tcPr>
          <w:p w14:paraId="51EAA34E" w14:textId="42B03486" w:rsidR="5CA7425E" w:rsidRDefault="5CA7425E" w:rsidP="5CA7425E">
            <w:pPr>
              <w:keepNext/>
              <w:spacing w:after="0" w:line="240" w:lineRule="auto"/>
              <w:jc w:val="center"/>
              <w:rPr>
                <w:rFonts w:ascii="Arial" w:eastAsia="Arial" w:hAnsi="Arial" w:cs="Arial"/>
                <w:sz w:val="18"/>
                <w:szCs w:val="18"/>
              </w:rPr>
            </w:pPr>
          </w:p>
        </w:tc>
        <w:tc>
          <w:tcPr>
            <w:tcW w:w="2085" w:type="dxa"/>
            <w:tcBorders>
              <w:top w:val="single" w:sz="6" w:space="0" w:color="auto"/>
            </w:tcBorders>
            <w:tcMar>
              <w:left w:w="60" w:type="dxa"/>
              <w:right w:w="60" w:type="dxa"/>
            </w:tcMar>
          </w:tcPr>
          <w:p w14:paraId="356C0757" w14:textId="3E4385B5" w:rsidR="5CA7425E" w:rsidRDefault="5CA7425E" w:rsidP="5CA7425E">
            <w:pPr>
              <w:keepNext/>
              <w:spacing w:after="0" w:line="240" w:lineRule="auto"/>
              <w:jc w:val="center"/>
              <w:rPr>
                <w:rFonts w:ascii="Arial" w:eastAsia="Arial" w:hAnsi="Arial" w:cs="Arial"/>
                <w:sz w:val="18"/>
                <w:szCs w:val="18"/>
              </w:rPr>
            </w:pPr>
          </w:p>
        </w:tc>
        <w:tc>
          <w:tcPr>
            <w:tcW w:w="690" w:type="dxa"/>
            <w:tcBorders>
              <w:top w:val="single" w:sz="6" w:space="0" w:color="auto"/>
            </w:tcBorders>
            <w:tcMar>
              <w:left w:w="60" w:type="dxa"/>
              <w:right w:w="60" w:type="dxa"/>
            </w:tcMar>
          </w:tcPr>
          <w:p w14:paraId="2ED6EDD5" w14:textId="1D5DABA0" w:rsidR="5CA7425E" w:rsidRDefault="5CA7425E" w:rsidP="5CA7425E">
            <w:pPr>
              <w:keepNext/>
              <w:spacing w:after="0" w:line="240" w:lineRule="auto"/>
              <w:jc w:val="center"/>
              <w:rPr>
                <w:rFonts w:ascii="Arial" w:eastAsia="Arial" w:hAnsi="Arial" w:cs="Arial"/>
                <w:sz w:val="18"/>
                <w:szCs w:val="18"/>
              </w:rPr>
            </w:pPr>
          </w:p>
        </w:tc>
        <w:tc>
          <w:tcPr>
            <w:tcW w:w="1035" w:type="dxa"/>
            <w:tcBorders>
              <w:top w:val="single" w:sz="6" w:space="0" w:color="auto"/>
            </w:tcBorders>
            <w:tcMar>
              <w:left w:w="60" w:type="dxa"/>
              <w:right w:w="60" w:type="dxa"/>
            </w:tcMar>
          </w:tcPr>
          <w:p w14:paraId="110CF61C" w14:textId="4F94D78F" w:rsidR="5CA7425E" w:rsidRDefault="5CA7425E" w:rsidP="5CA7425E">
            <w:pPr>
              <w:keepNext/>
              <w:spacing w:after="0" w:line="240" w:lineRule="auto"/>
              <w:jc w:val="center"/>
              <w:rPr>
                <w:rFonts w:ascii="Arial" w:eastAsia="Arial" w:hAnsi="Arial" w:cs="Arial"/>
                <w:sz w:val="18"/>
                <w:szCs w:val="18"/>
              </w:rPr>
            </w:pPr>
          </w:p>
        </w:tc>
        <w:tc>
          <w:tcPr>
            <w:tcW w:w="960" w:type="dxa"/>
            <w:tcBorders>
              <w:top w:val="single" w:sz="6" w:space="0" w:color="auto"/>
            </w:tcBorders>
            <w:tcMar>
              <w:left w:w="60" w:type="dxa"/>
              <w:right w:w="60" w:type="dxa"/>
            </w:tcMar>
          </w:tcPr>
          <w:p w14:paraId="542333DD" w14:textId="612FC6D3" w:rsidR="5CA7425E" w:rsidRDefault="5CA7425E" w:rsidP="5CA7425E">
            <w:pPr>
              <w:keepNext/>
              <w:spacing w:after="0" w:line="240" w:lineRule="auto"/>
              <w:jc w:val="center"/>
              <w:rPr>
                <w:rFonts w:ascii="Arial" w:eastAsia="Arial" w:hAnsi="Arial" w:cs="Arial"/>
                <w:sz w:val="18"/>
                <w:szCs w:val="18"/>
              </w:rPr>
            </w:pPr>
          </w:p>
        </w:tc>
      </w:tr>
      <w:tr w:rsidR="5CA7425E" w14:paraId="74B713DD" w14:textId="77777777" w:rsidTr="5CA7425E">
        <w:trPr>
          <w:trHeight w:val="300"/>
          <w:jc w:val="center"/>
        </w:trPr>
        <w:tc>
          <w:tcPr>
            <w:tcW w:w="2685" w:type="dxa"/>
            <w:tcMar>
              <w:left w:w="60" w:type="dxa"/>
              <w:right w:w="60" w:type="dxa"/>
            </w:tcMar>
          </w:tcPr>
          <w:p w14:paraId="26AC1F1C" w14:textId="41DC7FAE" w:rsidR="5CA7425E" w:rsidRDefault="5CA7425E" w:rsidP="5CA7425E">
            <w:pPr>
              <w:keepNext/>
              <w:spacing w:after="0" w:line="240" w:lineRule="auto"/>
              <w:rPr>
                <w:rFonts w:ascii="Arial" w:eastAsia="Arial" w:hAnsi="Arial" w:cs="Arial"/>
                <w:sz w:val="18"/>
                <w:szCs w:val="18"/>
              </w:rPr>
            </w:pPr>
            <w:r w:rsidRPr="5CA7425E">
              <w:rPr>
                <w:rFonts w:ascii="Arial" w:eastAsia="Arial" w:hAnsi="Arial" w:cs="Arial"/>
                <w:sz w:val="18"/>
                <w:szCs w:val="18"/>
              </w:rPr>
              <w:t>    Pre-implementation</w:t>
            </w:r>
          </w:p>
        </w:tc>
        <w:tc>
          <w:tcPr>
            <w:tcW w:w="1860" w:type="dxa"/>
            <w:tcMar>
              <w:left w:w="60" w:type="dxa"/>
              <w:right w:w="60" w:type="dxa"/>
            </w:tcMar>
          </w:tcPr>
          <w:p w14:paraId="6B11EC59" w14:textId="24874A09" w:rsidR="5CA7425E" w:rsidRDefault="5CA7425E" w:rsidP="5CA7425E">
            <w:pPr>
              <w:keepNext/>
              <w:spacing w:after="0" w:line="240" w:lineRule="auto"/>
              <w:jc w:val="center"/>
              <w:rPr>
                <w:rFonts w:ascii="Arial" w:eastAsia="Arial" w:hAnsi="Arial" w:cs="Arial"/>
                <w:sz w:val="18"/>
                <w:szCs w:val="18"/>
              </w:rPr>
            </w:pPr>
            <w:r w:rsidRPr="5CA7425E">
              <w:rPr>
                <w:rFonts w:ascii="Arial" w:eastAsia="Arial" w:hAnsi="Arial" w:cs="Arial"/>
                <w:sz w:val="18"/>
                <w:szCs w:val="18"/>
              </w:rPr>
              <w:t>1,502</w:t>
            </w:r>
          </w:p>
        </w:tc>
        <w:tc>
          <w:tcPr>
            <w:tcW w:w="2085" w:type="dxa"/>
            <w:tcMar>
              <w:left w:w="60" w:type="dxa"/>
              <w:right w:w="60" w:type="dxa"/>
            </w:tcMar>
          </w:tcPr>
          <w:p w14:paraId="3A3A0229" w14:textId="67EAAFE1" w:rsidR="5CA7425E" w:rsidRDefault="5CA7425E" w:rsidP="5CA7425E">
            <w:pPr>
              <w:keepNext/>
              <w:spacing w:after="0" w:line="240" w:lineRule="auto"/>
              <w:jc w:val="center"/>
              <w:rPr>
                <w:rFonts w:ascii="Arial" w:eastAsia="Arial" w:hAnsi="Arial" w:cs="Arial"/>
                <w:sz w:val="18"/>
                <w:szCs w:val="18"/>
              </w:rPr>
            </w:pPr>
            <w:r w:rsidRPr="5CA7425E">
              <w:rPr>
                <w:rFonts w:ascii="Arial" w:eastAsia="Arial" w:hAnsi="Arial" w:cs="Arial"/>
                <w:sz w:val="18"/>
                <w:szCs w:val="18"/>
              </w:rPr>
              <w:t>—</w:t>
            </w:r>
          </w:p>
        </w:tc>
        <w:tc>
          <w:tcPr>
            <w:tcW w:w="690" w:type="dxa"/>
            <w:tcMar>
              <w:left w:w="60" w:type="dxa"/>
              <w:right w:w="60" w:type="dxa"/>
            </w:tcMar>
          </w:tcPr>
          <w:p w14:paraId="0C40E45B" w14:textId="6117F15B" w:rsidR="5CA7425E" w:rsidRDefault="5CA7425E" w:rsidP="5CA7425E">
            <w:pPr>
              <w:keepNext/>
              <w:spacing w:after="0" w:line="240" w:lineRule="auto"/>
              <w:jc w:val="center"/>
              <w:rPr>
                <w:rFonts w:ascii="Arial" w:eastAsia="Arial" w:hAnsi="Arial" w:cs="Arial"/>
                <w:sz w:val="18"/>
                <w:szCs w:val="18"/>
              </w:rPr>
            </w:pPr>
            <w:r w:rsidRPr="5CA7425E">
              <w:rPr>
                <w:rFonts w:ascii="Arial" w:eastAsia="Arial" w:hAnsi="Arial" w:cs="Arial"/>
                <w:sz w:val="18"/>
                <w:szCs w:val="18"/>
              </w:rPr>
              <w:t>—</w:t>
            </w:r>
          </w:p>
        </w:tc>
        <w:tc>
          <w:tcPr>
            <w:tcW w:w="1035" w:type="dxa"/>
            <w:tcMar>
              <w:left w:w="60" w:type="dxa"/>
              <w:right w:w="60" w:type="dxa"/>
            </w:tcMar>
          </w:tcPr>
          <w:p w14:paraId="08890C6F" w14:textId="416081ED" w:rsidR="5CA7425E" w:rsidRDefault="5CA7425E" w:rsidP="5CA7425E">
            <w:pPr>
              <w:keepNext/>
              <w:spacing w:after="0" w:line="240" w:lineRule="auto"/>
              <w:jc w:val="center"/>
              <w:rPr>
                <w:rFonts w:ascii="Arial" w:eastAsia="Arial" w:hAnsi="Arial" w:cs="Arial"/>
                <w:sz w:val="18"/>
                <w:szCs w:val="18"/>
              </w:rPr>
            </w:pPr>
            <w:r w:rsidRPr="5CA7425E">
              <w:rPr>
                <w:rFonts w:ascii="Arial" w:eastAsia="Arial" w:hAnsi="Arial" w:cs="Arial"/>
                <w:sz w:val="18"/>
                <w:szCs w:val="18"/>
              </w:rPr>
              <w:t>—</w:t>
            </w:r>
          </w:p>
        </w:tc>
        <w:tc>
          <w:tcPr>
            <w:tcW w:w="960" w:type="dxa"/>
            <w:tcMar>
              <w:left w:w="60" w:type="dxa"/>
              <w:right w:w="60" w:type="dxa"/>
            </w:tcMar>
          </w:tcPr>
          <w:p w14:paraId="77294BFC" w14:textId="0C0A9622" w:rsidR="5CA7425E" w:rsidRDefault="5CA7425E" w:rsidP="5CA7425E">
            <w:pPr>
              <w:keepNext/>
              <w:spacing w:after="0" w:line="240" w:lineRule="auto"/>
              <w:jc w:val="center"/>
              <w:rPr>
                <w:rFonts w:ascii="Arial" w:eastAsia="Arial" w:hAnsi="Arial" w:cs="Arial"/>
                <w:sz w:val="18"/>
                <w:szCs w:val="18"/>
              </w:rPr>
            </w:pPr>
          </w:p>
        </w:tc>
      </w:tr>
      <w:tr w:rsidR="5CA7425E" w14:paraId="01192A5A" w14:textId="77777777" w:rsidTr="5CA7425E">
        <w:trPr>
          <w:trHeight w:val="300"/>
          <w:jc w:val="center"/>
        </w:trPr>
        <w:tc>
          <w:tcPr>
            <w:tcW w:w="2685" w:type="dxa"/>
            <w:tcMar>
              <w:left w:w="60" w:type="dxa"/>
              <w:right w:w="60" w:type="dxa"/>
            </w:tcMar>
          </w:tcPr>
          <w:p w14:paraId="01615C48" w14:textId="6AA50962" w:rsidR="5CA7425E" w:rsidRDefault="5CA7425E" w:rsidP="5CA7425E">
            <w:pPr>
              <w:keepNext/>
              <w:spacing w:after="0" w:line="240" w:lineRule="auto"/>
              <w:rPr>
                <w:rFonts w:ascii="Arial" w:eastAsia="Arial" w:hAnsi="Arial" w:cs="Arial"/>
                <w:sz w:val="18"/>
                <w:szCs w:val="18"/>
              </w:rPr>
            </w:pPr>
            <w:r w:rsidRPr="5CA7425E">
              <w:rPr>
                <w:rFonts w:ascii="Arial" w:eastAsia="Arial" w:hAnsi="Arial" w:cs="Arial"/>
                <w:sz w:val="18"/>
                <w:szCs w:val="18"/>
              </w:rPr>
              <w:t>    Post-implementation</w:t>
            </w:r>
          </w:p>
        </w:tc>
        <w:tc>
          <w:tcPr>
            <w:tcW w:w="1860" w:type="dxa"/>
            <w:tcMar>
              <w:left w:w="60" w:type="dxa"/>
              <w:right w:w="60" w:type="dxa"/>
            </w:tcMar>
          </w:tcPr>
          <w:p w14:paraId="16A6A449" w14:textId="4CA790BE" w:rsidR="5CA7425E" w:rsidRDefault="5CA7425E" w:rsidP="5CA7425E">
            <w:pPr>
              <w:keepNext/>
              <w:spacing w:after="0" w:line="240" w:lineRule="auto"/>
              <w:jc w:val="center"/>
              <w:rPr>
                <w:rFonts w:ascii="Arial" w:eastAsia="Arial" w:hAnsi="Arial" w:cs="Arial"/>
                <w:sz w:val="18"/>
                <w:szCs w:val="18"/>
              </w:rPr>
            </w:pPr>
            <w:r w:rsidRPr="5CA7425E">
              <w:rPr>
                <w:rFonts w:ascii="Arial" w:eastAsia="Arial" w:hAnsi="Arial" w:cs="Arial"/>
                <w:sz w:val="18"/>
                <w:szCs w:val="18"/>
              </w:rPr>
              <w:t>—</w:t>
            </w:r>
          </w:p>
        </w:tc>
        <w:tc>
          <w:tcPr>
            <w:tcW w:w="2085" w:type="dxa"/>
            <w:tcMar>
              <w:left w:w="60" w:type="dxa"/>
              <w:right w:w="60" w:type="dxa"/>
            </w:tcMar>
          </w:tcPr>
          <w:p w14:paraId="53D2C898" w14:textId="79862F8E" w:rsidR="5CA7425E" w:rsidRDefault="5CA7425E" w:rsidP="5CA7425E">
            <w:pPr>
              <w:keepNext/>
              <w:spacing w:after="0" w:line="240" w:lineRule="auto"/>
              <w:jc w:val="center"/>
              <w:rPr>
                <w:rFonts w:ascii="Arial" w:eastAsia="Arial" w:hAnsi="Arial" w:cs="Arial"/>
                <w:sz w:val="18"/>
                <w:szCs w:val="18"/>
              </w:rPr>
            </w:pPr>
            <w:r w:rsidRPr="5CA7425E">
              <w:rPr>
                <w:rFonts w:ascii="Arial" w:eastAsia="Arial" w:hAnsi="Arial" w:cs="Arial"/>
                <w:sz w:val="18"/>
                <w:szCs w:val="18"/>
              </w:rPr>
              <w:t>581</w:t>
            </w:r>
          </w:p>
        </w:tc>
        <w:tc>
          <w:tcPr>
            <w:tcW w:w="690" w:type="dxa"/>
            <w:tcMar>
              <w:left w:w="60" w:type="dxa"/>
              <w:right w:w="60" w:type="dxa"/>
            </w:tcMar>
          </w:tcPr>
          <w:p w14:paraId="7DA9F043" w14:textId="234DF2A2" w:rsidR="5CA7425E" w:rsidRDefault="5CA7425E" w:rsidP="5CA7425E">
            <w:pPr>
              <w:keepNext/>
              <w:spacing w:after="0" w:line="240" w:lineRule="auto"/>
              <w:jc w:val="center"/>
              <w:rPr>
                <w:rFonts w:ascii="Arial" w:eastAsia="Arial" w:hAnsi="Arial" w:cs="Arial"/>
                <w:sz w:val="18"/>
                <w:szCs w:val="18"/>
              </w:rPr>
            </w:pPr>
            <w:r w:rsidRPr="5CA7425E">
              <w:rPr>
                <w:rFonts w:ascii="Arial" w:eastAsia="Arial" w:hAnsi="Arial" w:cs="Arial"/>
                <w:sz w:val="18"/>
                <w:szCs w:val="18"/>
              </w:rPr>
              <w:t>2.57</w:t>
            </w:r>
          </w:p>
        </w:tc>
        <w:tc>
          <w:tcPr>
            <w:tcW w:w="1035" w:type="dxa"/>
            <w:tcMar>
              <w:left w:w="60" w:type="dxa"/>
              <w:right w:w="60" w:type="dxa"/>
            </w:tcMar>
          </w:tcPr>
          <w:p w14:paraId="55AEF8AC" w14:textId="061F4A71" w:rsidR="5CA7425E" w:rsidRDefault="5CA7425E" w:rsidP="5CA7425E">
            <w:pPr>
              <w:keepNext/>
              <w:spacing w:after="0" w:line="240" w:lineRule="auto"/>
              <w:jc w:val="center"/>
              <w:rPr>
                <w:rFonts w:ascii="Arial" w:eastAsia="Arial" w:hAnsi="Arial" w:cs="Arial"/>
                <w:sz w:val="18"/>
                <w:szCs w:val="18"/>
              </w:rPr>
            </w:pPr>
            <w:r w:rsidRPr="5CA7425E">
              <w:rPr>
                <w:rFonts w:ascii="Arial" w:eastAsia="Arial" w:hAnsi="Arial" w:cs="Arial"/>
                <w:sz w:val="18"/>
                <w:szCs w:val="18"/>
              </w:rPr>
              <w:t>1.76, 3.73</w:t>
            </w:r>
          </w:p>
        </w:tc>
        <w:tc>
          <w:tcPr>
            <w:tcW w:w="960" w:type="dxa"/>
            <w:tcMar>
              <w:left w:w="60" w:type="dxa"/>
              <w:right w:w="60" w:type="dxa"/>
            </w:tcMar>
          </w:tcPr>
          <w:p w14:paraId="7C13E415" w14:textId="1D0271B7" w:rsidR="5CA7425E" w:rsidRDefault="5CA7425E" w:rsidP="5CA7425E">
            <w:pPr>
              <w:keepNext/>
              <w:spacing w:after="0" w:line="240" w:lineRule="auto"/>
              <w:jc w:val="center"/>
              <w:rPr>
                <w:rFonts w:ascii="Arial" w:eastAsia="Arial" w:hAnsi="Arial" w:cs="Arial"/>
                <w:sz w:val="18"/>
                <w:szCs w:val="18"/>
              </w:rPr>
            </w:pPr>
            <w:r w:rsidRPr="5CA7425E">
              <w:rPr>
                <w:rFonts w:ascii="Arial" w:eastAsia="Arial" w:hAnsi="Arial" w:cs="Arial"/>
                <w:sz w:val="18"/>
                <w:szCs w:val="18"/>
              </w:rPr>
              <w:t>&lt;0.001</w:t>
            </w:r>
          </w:p>
        </w:tc>
      </w:tr>
    </w:tbl>
    <w:p w14:paraId="6B01AC29" w14:textId="67AF5083" w:rsidR="5F30829E" w:rsidRDefault="5F30829E" w:rsidP="5CA7425E">
      <w:pPr>
        <w:spacing w:after="0" w:line="240" w:lineRule="auto"/>
        <w:ind w:left="720" w:right="810"/>
        <w:rPr>
          <w:rFonts w:ascii="Arial" w:eastAsia="Arial" w:hAnsi="Arial" w:cs="Arial"/>
          <w:color w:val="000000" w:themeColor="text1"/>
          <w:sz w:val="18"/>
          <w:szCs w:val="18"/>
        </w:rPr>
      </w:pPr>
      <w:r w:rsidRPr="5CA7425E">
        <w:rPr>
          <w:rFonts w:ascii="Arial" w:eastAsia="Arial" w:hAnsi="Arial" w:cs="Arial"/>
          <w:color w:val="000000" w:themeColor="text1"/>
          <w:sz w:val="18"/>
          <w:szCs w:val="18"/>
          <w:vertAlign w:val="superscript"/>
        </w:rPr>
        <w:t>1</w:t>
      </w:r>
      <w:r w:rsidRPr="5CA7425E">
        <w:rPr>
          <w:rFonts w:ascii="Arial" w:eastAsia="Arial" w:hAnsi="Arial" w:cs="Arial"/>
          <w:color w:val="000000" w:themeColor="text1"/>
          <w:sz w:val="18"/>
          <w:szCs w:val="18"/>
        </w:rPr>
        <w:t xml:space="preserve"> Pre-implementation period:</w:t>
      </w:r>
      <w:r w:rsidRPr="5CA7425E">
        <w:rPr>
          <w:rFonts w:ascii="Arial" w:eastAsia="Arial" w:hAnsi="Arial" w:cs="Arial"/>
          <w:b/>
          <w:bCs/>
          <w:color w:val="000000" w:themeColor="text1"/>
          <w:sz w:val="18"/>
          <w:szCs w:val="18"/>
        </w:rPr>
        <w:t xml:space="preserve"> </w:t>
      </w:r>
      <w:r w:rsidRPr="5CA7425E">
        <w:rPr>
          <w:rFonts w:ascii="Arial" w:eastAsia="Arial" w:hAnsi="Arial" w:cs="Arial"/>
          <w:color w:val="000000" w:themeColor="text1"/>
          <w:sz w:val="18"/>
          <w:szCs w:val="18"/>
        </w:rPr>
        <w:t>January 31, 2016-December 31, 2021, Post-implementation period: January 31, 2022-March 31, 2024</w:t>
      </w:r>
    </w:p>
    <w:p w14:paraId="49241A29" w14:textId="34248EEF" w:rsidR="5F30829E" w:rsidRDefault="5F30829E" w:rsidP="5CA7425E">
      <w:pPr>
        <w:spacing w:after="0" w:line="240" w:lineRule="auto"/>
        <w:ind w:left="720" w:right="810"/>
        <w:rPr>
          <w:rFonts w:ascii="Arial" w:eastAsia="Arial" w:hAnsi="Arial" w:cs="Arial"/>
          <w:color w:val="000000" w:themeColor="text1"/>
          <w:sz w:val="18"/>
          <w:szCs w:val="18"/>
        </w:rPr>
      </w:pPr>
      <w:r w:rsidRPr="5CA7425E">
        <w:rPr>
          <w:rFonts w:ascii="Arial" w:eastAsia="Arial" w:hAnsi="Arial" w:cs="Arial"/>
          <w:color w:val="000000" w:themeColor="text1"/>
          <w:sz w:val="18"/>
          <w:szCs w:val="18"/>
          <w:vertAlign w:val="superscript"/>
        </w:rPr>
        <w:t>2</w:t>
      </w:r>
      <w:r w:rsidRPr="5CA7425E">
        <w:rPr>
          <w:rFonts w:ascii="Arial" w:eastAsia="Arial" w:hAnsi="Arial" w:cs="Arial"/>
          <w:color w:val="000000" w:themeColor="text1"/>
          <w:sz w:val="18"/>
          <w:szCs w:val="18"/>
        </w:rPr>
        <w:t xml:space="preserve"> Hazard Ratio (HR) and Confidence Interval (CI) estimated from Cox proportional hazards model adjusted for clustering effect of service area, year of transplant, and other covariates in the table</w:t>
      </w:r>
    </w:p>
    <w:p w14:paraId="107FBCB3" w14:textId="442A2387" w:rsidR="5F30829E" w:rsidRDefault="5F30829E" w:rsidP="5CA7425E">
      <w:pPr>
        <w:spacing w:after="0" w:line="240" w:lineRule="auto"/>
        <w:ind w:left="720" w:right="810"/>
        <w:rPr>
          <w:rFonts w:ascii="Arial" w:eastAsia="Arial" w:hAnsi="Arial" w:cs="Arial"/>
          <w:color w:val="000000" w:themeColor="text1"/>
          <w:sz w:val="18"/>
          <w:szCs w:val="18"/>
        </w:rPr>
      </w:pPr>
      <w:r w:rsidRPr="5CA7425E">
        <w:rPr>
          <w:rStyle w:val="normaltextrun"/>
          <w:rFonts w:ascii="Arial" w:eastAsia="Arial" w:hAnsi="Arial" w:cs="Arial"/>
          <w:color w:val="000000" w:themeColor="text1"/>
          <w:sz w:val="18"/>
          <w:szCs w:val="18"/>
          <w:vertAlign w:val="superscript"/>
        </w:rPr>
        <w:t>3</w:t>
      </w:r>
      <w:r w:rsidRPr="5CA7425E">
        <w:rPr>
          <w:rStyle w:val="normaltextrun"/>
          <w:rFonts w:ascii="Arial" w:eastAsia="Arial" w:hAnsi="Arial" w:cs="Arial"/>
          <w:color w:val="000000" w:themeColor="text1"/>
          <w:sz w:val="18"/>
          <w:szCs w:val="18"/>
        </w:rPr>
        <w:t xml:space="preserve"> Follow-up was for 27 months starting date of transplant in the SOTRs to the earliest of the following dates: first skin cancer diagnosis (study outcome), HIV diagnosis, subsequent organ transplantation, disenrollment from the health plan (allowing any gaps as long as patient re-enrolled during study period), death, and end of the study (March 31, 2024 for post-implementation group and Dec. 31, 2021 for the pre-implementation group).</w:t>
      </w:r>
    </w:p>
    <w:p w14:paraId="0422E345" w14:textId="2695B300" w:rsidR="5CA7425E" w:rsidRDefault="5CA7425E" w:rsidP="5CA7425E">
      <w:pPr>
        <w:spacing w:after="0" w:line="240" w:lineRule="auto"/>
        <w:rPr>
          <w:rFonts w:ascii="Arial" w:eastAsia="Arial" w:hAnsi="Arial" w:cs="Arial"/>
          <w:sz w:val="18"/>
          <w:szCs w:val="18"/>
        </w:rPr>
      </w:pPr>
    </w:p>
    <w:p w14:paraId="4B3717AB" w14:textId="77777777" w:rsidR="000A0D74" w:rsidRDefault="000A0D74" w:rsidP="5CA7425E">
      <w:pPr>
        <w:spacing w:after="0" w:line="240" w:lineRule="auto"/>
        <w:rPr>
          <w:rFonts w:ascii="Arial" w:eastAsia="Arial" w:hAnsi="Arial" w:cs="Arial"/>
          <w:sz w:val="18"/>
          <w:szCs w:val="18"/>
        </w:rPr>
      </w:pPr>
    </w:p>
    <w:p w14:paraId="5E4C7FC3" w14:textId="77777777" w:rsidR="000A0D74" w:rsidRDefault="000A0D74" w:rsidP="5CA7425E">
      <w:pPr>
        <w:spacing w:after="0" w:line="240" w:lineRule="auto"/>
        <w:rPr>
          <w:rFonts w:ascii="Arial" w:eastAsia="Arial" w:hAnsi="Arial" w:cs="Arial"/>
          <w:sz w:val="18"/>
          <w:szCs w:val="18"/>
        </w:rPr>
      </w:pPr>
    </w:p>
    <w:p w14:paraId="694FDF03" w14:textId="63FA142F" w:rsidR="5CA7425E" w:rsidRDefault="5CA7425E" w:rsidP="5CA7425E">
      <w:pPr>
        <w:spacing w:after="0" w:line="240" w:lineRule="auto"/>
        <w:rPr>
          <w:rFonts w:ascii="Arial" w:eastAsia="Arial" w:hAnsi="Arial" w:cs="Arial"/>
          <w:sz w:val="18"/>
          <w:szCs w:val="18"/>
        </w:rPr>
      </w:pPr>
    </w:p>
    <w:p w14:paraId="50317C59" w14:textId="165C9FEB" w:rsidR="5C31E3BD" w:rsidRDefault="5C31E3BD" w:rsidP="5CA7425E">
      <w:pPr>
        <w:spacing w:after="0" w:line="240" w:lineRule="auto"/>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 xml:space="preserve">Supplemental Table 8. Healthcare utilization counts before and after KP-SUNTRAC implementation in High and Very </w:t>
      </w:r>
      <w:proofErr w:type="gramStart"/>
      <w:r w:rsidRPr="5CA7425E">
        <w:rPr>
          <w:rFonts w:ascii="Arial" w:eastAsia="Arial" w:hAnsi="Arial" w:cs="Arial"/>
          <w:b/>
          <w:bCs/>
          <w:color w:val="000000" w:themeColor="text1"/>
          <w:sz w:val="18"/>
          <w:szCs w:val="18"/>
        </w:rPr>
        <w:t>High risk</w:t>
      </w:r>
      <w:proofErr w:type="gramEnd"/>
      <w:r w:rsidRPr="5CA7425E">
        <w:rPr>
          <w:rFonts w:ascii="Arial" w:eastAsia="Arial" w:hAnsi="Arial" w:cs="Arial"/>
          <w:b/>
          <w:bCs/>
          <w:color w:val="000000" w:themeColor="text1"/>
          <w:sz w:val="18"/>
          <w:szCs w:val="18"/>
        </w:rPr>
        <w:t xml:space="preserve"> patients during 27 months from date of transplant</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5"/>
        <w:gridCol w:w="1395"/>
        <w:gridCol w:w="1710"/>
        <w:gridCol w:w="1545"/>
        <w:gridCol w:w="1560"/>
        <w:gridCol w:w="1725"/>
        <w:gridCol w:w="1531"/>
      </w:tblGrid>
      <w:tr w:rsidR="5CA7425E" w14:paraId="24A979D1" w14:textId="77777777" w:rsidTr="5CA7425E">
        <w:trPr>
          <w:trHeight w:val="300"/>
          <w:jc w:val="center"/>
        </w:trPr>
        <w:tc>
          <w:tcPr>
            <w:tcW w:w="1395" w:type="dxa"/>
            <w:tcBorders>
              <w:top w:val="single" w:sz="6" w:space="0" w:color="auto"/>
              <w:left w:val="single" w:sz="6" w:space="0" w:color="auto"/>
              <w:bottom w:val="single" w:sz="6" w:space="0" w:color="auto"/>
            </w:tcBorders>
            <w:shd w:val="clear" w:color="auto" w:fill="FFFFFF" w:themeFill="background1"/>
            <w:tcMar>
              <w:left w:w="90" w:type="dxa"/>
              <w:right w:w="90" w:type="dxa"/>
            </w:tcMar>
            <w:vAlign w:val="center"/>
          </w:tcPr>
          <w:p w14:paraId="4B4F27B3" w14:textId="136961DC" w:rsidR="5CA7425E" w:rsidRDefault="5CA7425E" w:rsidP="5CA7425E">
            <w:pPr>
              <w:spacing w:after="0" w:line="240" w:lineRule="auto"/>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Characteristic </w:t>
            </w:r>
          </w:p>
        </w:tc>
        <w:tc>
          <w:tcPr>
            <w:tcW w:w="4650" w:type="dxa"/>
            <w:gridSpan w:val="3"/>
            <w:tcBorders>
              <w:top w:val="single" w:sz="6" w:space="0" w:color="auto"/>
              <w:bottom w:val="single" w:sz="6" w:space="0" w:color="auto"/>
            </w:tcBorders>
            <w:shd w:val="clear" w:color="auto" w:fill="FFFFFF" w:themeFill="background1"/>
            <w:tcMar>
              <w:left w:w="90" w:type="dxa"/>
              <w:right w:w="90" w:type="dxa"/>
            </w:tcMar>
            <w:vAlign w:val="center"/>
          </w:tcPr>
          <w:p w14:paraId="42F2EE70" w14:textId="28305719"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Pre-Implementation (January 2016-December 2021)</w:t>
            </w:r>
            <w:r>
              <w:br/>
            </w:r>
            <w:r w:rsidRPr="5CA7425E">
              <w:rPr>
                <w:rFonts w:ascii="Arial" w:eastAsia="Arial" w:hAnsi="Arial" w:cs="Arial"/>
                <w:b/>
                <w:bCs/>
                <w:color w:val="000000" w:themeColor="text1"/>
                <w:sz w:val="18"/>
                <w:szCs w:val="18"/>
              </w:rPr>
              <w:t>N=275</w:t>
            </w:r>
          </w:p>
        </w:tc>
        <w:tc>
          <w:tcPr>
            <w:tcW w:w="4816" w:type="dxa"/>
            <w:gridSpan w:val="3"/>
            <w:tcBorders>
              <w:top w:val="single" w:sz="6" w:space="0" w:color="auto"/>
              <w:bottom w:val="single" w:sz="6" w:space="0" w:color="auto"/>
              <w:right w:val="single" w:sz="6" w:space="0" w:color="auto"/>
            </w:tcBorders>
            <w:shd w:val="clear" w:color="auto" w:fill="FFFFFF" w:themeFill="background1"/>
            <w:tcMar>
              <w:left w:w="90" w:type="dxa"/>
              <w:right w:w="90" w:type="dxa"/>
            </w:tcMar>
            <w:vAlign w:val="center"/>
          </w:tcPr>
          <w:p w14:paraId="093FC582" w14:textId="5DC1310F"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Post-implementation (January 2022-March 2024)</w:t>
            </w:r>
            <w:r>
              <w:br/>
            </w:r>
            <w:r w:rsidRPr="5CA7425E">
              <w:rPr>
                <w:rFonts w:ascii="Arial" w:eastAsia="Arial" w:hAnsi="Arial" w:cs="Arial"/>
                <w:b/>
                <w:bCs/>
                <w:color w:val="000000" w:themeColor="text1"/>
                <w:sz w:val="18"/>
                <w:szCs w:val="18"/>
              </w:rPr>
              <w:t>N=88</w:t>
            </w:r>
          </w:p>
        </w:tc>
      </w:tr>
      <w:tr w:rsidR="5CA7425E" w14:paraId="6F3040BB" w14:textId="77777777" w:rsidTr="5CA7425E">
        <w:trPr>
          <w:trHeight w:val="300"/>
          <w:jc w:val="center"/>
        </w:trPr>
        <w:tc>
          <w:tcPr>
            <w:tcW w:w="1395" w:type="dxa"/>
            <w:tcBorders>
              <w:top w:val="single" w:sz="6" w:space="0" w:color="auto"/>
              <w:left w:val="single" w:sz="6" w:space="0" w:color="auto"/>
              <w:bottom w:val="single" w:sz="6" w:space="0" w:color="auto"/>
            </w:tcBorders>
            <w:shd w:val="clear" w:color="auto" w:fill="FFFFFF" w:themeFill="background1"/>
            <w:tcMar>
              <w:left w:w="90" w:type="dxa"/>
              <w:right w:w="90" w:type="dxa"/>
            </w:tcMar>
            <w:vAlign w:val="center"/>
          </w:tcPr>
          <w:p w14:paraId="2EDD97C7" w14:textId="272642D3" w:rsidR="5CA7425E" w:rsidRDefault="5CA7425E" w:rsidP="5CA7425E">
            <w:pPr>
              <w:spacing w:after="0" w:line="240" w:lineRule="auto"/>
              <w:jc w:val="center"/>
              <w:rPr>
                <w:rFonts w:ascii="Arial" w:eastAsia="Arial" w:hAnsi="Arial" w:cs="Arial"/>
                <w:color w:val="000000" w:themeColor="text1"/>
                <w:sz w:val="18"/>
                <w:szCs w:val="18"/>
              </w:rPr>
            </w:pPr>
          </w:p>
        </w:tc>
        <w:tc>
          <w:tcPr>
            <w:tcW w:w="1395" w:type="dxa"/>
            <w:tcBorders>
              <w:top w:val="single" w:sz="6" w:space="0" w:color="auto"/>
              <w:bottom w:val="single" w:sz="6" w:space="0" w:color="auto"/>
            </w:tcBorders>
            <w:shd w:val="clear" w:color="auto" w:fill="FFFFFF" w:themeFill="background1"/>
            <w:tcMar>
              <w:left w:w="90" w:type="dxa"/>
              <w:right w:w="90" w:type="dxa"/>
            </w:tcMar>
          </w:tcPr>
          <w:p w14:paraId="6D52B54C" w14:textId="1DC2DDE8"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Dermatology Appointment Counts</w:t>
            </w:r>
          </w:p>
        </w:tc>
        <w:tc>
          <w:tcPr>
            <w:tcW w:w="1710" w:type="dxa"/>
            <w:tcBorders>
              <w:top w:val="single" w:sz="6" w:space="0" w:color="auto"/>
              <w:bottom w:val="single" w:sz="6" w:space="0" w:color="auto"/>
            </w:tcBorders>
            <w:shd w:val="clear" w:color="auto" w:fill="FFFFFF" w:themeFill="background1"/>
            <w:tcMar>
              <w:left w:w="90" w:type="dxa"/>
              <w:right w:w="90" w:type="dxa"/>
            </w:tcMar>
          </w:tcPr>
          <w:p w14:paraId="36A4ADEC" w14:textId="09ADA920"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Non-Dermatology Appointment Counts</w:t>
            </w:r>
          </w:p>
        </w:tc>
        <w:tc>
          <w:tcPr>
            <w:tcW w:w="1545" w:type="dxa"/>
            <w:tcBorders>
              <w:top w:val="single" w:sz="6" w:space="0" w:color="auto"/>
              <w:bottom w:val="single" w:sz="6" w:space="0" w:color="auto"/>
              <w:right w:val="single" w:sz="6" w:space="0" w:color="000000" w:themeColor="text1"/>
            </w:tcBorders>
            <w:shd w:val="clear" w:color="auto" w:fill="FFFFFF" w:themeFill="background1"/>
            <w:tcMar>
              <w:left w:w="90" w:type="dxa"/>
              <w:right w:w="90" w:type="dxa"/>
            </w:tcMar>
          </w:tcPr>
          <w:p w14:paraId="54F1E1D5" w14:textId="728F5C36"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Pathology Specimen Counts</w:t>
            </w:r>
          </w:p>
        </w:tc>
        <w:tc>
          <w:tcPr>
            <w:tcW w:w="1560" w:type="dxa"/>
            <w:tcBorders>
              <w:top w:val="single" w:sz="6" w:space="0" w:color="auto"/>
              <w:left w:val="single" w:sz="6" w:space="0" w:color="000000" w:themeColor="text1"/>
              <w:bottom w:val="single" w:sz="6" w:space="0" w:color="auto"/>
              <w:right w:val="single" w:sz="6" w:space="0" w:color="FFFFFF" w:themeColor="background1"/>
            </w:tcBorders>
            <w:shd w:val="clear" w:color="auto" w:fill="FFFFFF" w:themeFill="background1"/>
            <w:tcMar>
              <w:left w:w="90" w:type="dxa"/>
              <w:right w:w="90" w:type="dxa"/>
            </w:tcMar>
          </w:tcPr>
          <w:p w14:paraId="05D9DF85" w14:textId="56A4862F"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Dermatology Appointment Counts</w:t>
            </w:r>
          </w:p>
        </w:tc>
        <w:tc>
          <w:tcPr>
            <w:tcW w:w="1725" w:type="dxa"/>
            <w:tcBorders>
              <w:top w:val="single" w:sz="6" w:space="0" w:color="auto"/>
              <w:left w:val="single" w:sz="6" w:space="0" w:color="FFFFFF" w:themeColor="background1"/>
              <w:bottom w:val="single" w:sz="6" w:space="0" w:color="auto"/>
            </w:tcBorders>
            <w:shd w:val="clear" w:color="auto" w:fill="FFFFFF" w:themeFill="background1"/>
            <w:tcMar>
              <w:left w:w="90" w:type="dxa"/>
              <w:right w:w="90" w:type="dxa"/>
            </w:tcMar>
          </w:tcPr>
          <w:p w14:paraId="0EB34DC1" w14:textId="7637B628"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Non-Dermatology Appointment Counts</w:t>
            </w:r>
          </w:p>
        </w:tc>
        <w:tc>
          <w:tcPr>
            <w:tcW w:w="1531" w:type="dxa"/>
            <w:tcBorders>
              <w:top w:val="single" w:sz="6" w:space="0" w:color="auto"/>
              <w:bottom w:val="single" w:sz="6" w:space="0" w:color="auto"/>
              <w:right w:val="single" w:sz="6" w:space="0" w:color="auto"/>
            </w:tcBorders>
            <w:shd w:val="clear" w:color="auto" w:fill="FFFFFF" w:themeFill="background1"/>
            <w:tcMar>
              <w:left w:w="90" w:type="dxa"/>
              <w:right w:w="90" w:type="dxa"/>
            </w:tcMar>
          </w:tcPr>
          <w:p w14:paraId="4C3BDAAB" w14:textId="11091876"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Pathology Specimen Counts</w:t>
            </w:r>
          </w:p>
        </w:tc>
      </w:tr>
      <w:tr w:rsidR="5CA7425E" w14:paraId="49871404" w14:textId="77777777" w:rsidTr="5CA7425E">
        <w:trPr>
          <w:trHeight w:val="300"/>
          <w:jc w:val="center"/>
        </w:trPr>
        <w:tc>
          <w:tcPr>
            <w:tcW w:w="1395" w:type="dxa"/>
            <w:tcBorders>
              <w:top w:val="single" w:sz="6" w:space="0" w:color="auto"/>
              <w:left w:val="single" w:sz="6" w:space="0" w:color="auto"/>
              <w:bottom w:val="single" w:sz="6" w:space="0" w:color="auto"/>
            </w:tcBorders>
            <w:shd w:val="clear" w:color="auto" w:fill="FFFFFF" w:themeFill="background1"/>
            <w:tcMar>
              <w:left w:w="90" w:type="dxa"/>
              <w:right w:w="90" w:type="dxa"/>
            </w:tcMar>
          </w:tcPr>
          <w:p w14:paraId="4EFF9795" w14:textId="03621F9D" w:rsidR="5CA7425E" w:rsidRDefault="5CA7425E" w:rsidP="5CA7425E">
            <w:pPr>
              <w:spacing w:after="0" w:line="240" w:lineRule="auto"/>
              <w:jc w:val="center"/>
              <w:rPr>
                <w:rFonts w:ascii="Arial" w:eastAsia="Arial" w:hAnsi="Arial" w:cs="Arial"/>
                <w:color w:val="000000" w:themeColor="text1"/>
                <w:sz w:val="18"/>
                <w:szCs w:val="18"/>
              </w:rPr>
            </w:pPr>
          </w:p>
        </w:tc>
        <w:tc>
          <w:tcPr>
            <w:tcW w:w="4650" w:type="dxa"/>
            <w:gridSpan w:val="3"/>
            <w:tcBorders>
              <w:top w:val="single" w:sz="6" w:space="0" w:color="auto"/>
              <w:bottom w:val="single" w:sz="6" w:space="0" w:color="auto"/>
              <w:right w:val="single" w:sz="6" w:space="0" w:color="000000" w:themeColor="text1"/>
            </w:tcBorders>
            <w:shd w:val="clear" w:color="auto" w:fill="FFFFFF" w:themeFill="background1"/>
            <w:tcMar>
              <w:left w:w="90" w:type="dxa"/>
              <w:right w:w="90" w:type="dxa"/>
            </w:tcMar>
          </w:tcPr>
          <w:p w14:paraId="5750C5A7" w14:textId="1F494D99"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mean / median (min-max)</w:t>
            </w:r>
          </w:p>
        </w:tc>
        <w:tc>
          <w:tcPr>
            <w:tcW w:w="4816" w:type="dxa"/>
            <w:gridSpan w:val="3"/>
            <w:tcBorders>
              <w:top w:val="single" w:sz="6" w:space="0" w:color="auto"/>
              <w:left w:val="single" w:sz="6" w:space="0" w:color="000000" w:themeColor="text1"/>
              <w:bottom w:val="single" w:sz="6" w:space="0" w:color="auto"/>
              <w:right w:val="single" w:sz="6" w:space="0" w:color="auto"/>
            </w:tcBorders>
            <w:shd w:val="clear" w:color="auto" w:fill="FFFFFF" w:themeFill="background1"/>
            <w:tcMar>
              <w:left w:w="90" w:type="dxa"/>
              <w:right w:w="90" w:type="dxa"/>
            </w:tcMar>
          </w:tcPr>
          <w:p w14:paraId="1EC55F3F" w14:textId="35F0AEBF" w:rsidR="5CA7425E" w:rsidRDefault="5CA7425E" w:rsidP="5CA7425E">
            <w:pPr>
              <w:spacing w:after="0" w:line="240" w:lineRule="auto"/>
              <w:jc w:val="center"/>
              <w:rPr>
                <w:rFonts w:ascii="Arial" w:eastAsia="Arial" w:hAnsi="Arial" w:cs="Arial"/>
                <w:b/>
                <w:bCs/>
                <w:color w:val="000000" w:themeColor="text1"/>
                <w:sz w:val="18"/>
                <w:szCs w:val="18"/>
              </w:rPr>
            </w:pPr>
            <w:r w:rsidRPr="5CA7425E">
              <w:rPr>
                <w:rFonts w:ascii="Arial" w:eastAsia="Arial" w:hAnsi="Arial" w:cs="Arial"/>
                <w:b/>
                <w:bCs/>
                <w:color w:val="000000" w:themeColor="text1"/>
                <w:sz w:val="18"/>
                <w:szCs w:val="18"/>
              </w:rPr>
              <w:t>mean / median (min-max)</w:t>
            </w:r>
          </w:p>
        </w:tc>
      </w:tr>
      <w:tr w:rsidR="5CA7425E" w14:paraId="76750FA1" w14:textId="77777777" w:rsidTr="5CA7425E">
        <w:trPr>
          <w:trHeight w:val="615"/>
          <w:jc w:val="center"/>
        </w:trPr>
        <w:tc>
          <w:tcPr>
            <w:tcW w:w="1395" w:type="dxa"/>
            <w:tcBorders>
              <w:top w:val="single" w:sz="6" w:space="0" w:color="auto"/>
              <w:left w:val="single" w:sz="6" w:space="0" w:color="auto"/>
            </w:tcBorders>
            <w:shd w:val="clear" w:color="auto" w:fill="FFFFFF" w:themeFill="background1"/>
            <w:tcMar>
              <w:left w:w="90" w:type="dxa"/>
              <w:right w:w="90" w:type="dxa"/>
            </w:tcMar>
          </w:tcPr>
          <w:p w14:paraId="2EA9B080" w14:textId="63C9644B" w:rsidR="5CA7425E" w:rsidRDefault="5CA7425E" w:rsidP="5CA7425E">
            <w:pPr>
              <w:spacing w:after="0" w:line="240" w:lineRule="auto"/>
              <w:rPr>
                <w:rFonts w:ascii="Arial" w:eastAsia="Arial" w:hAnsi="Arial" w:cs="Arial"/>
                <w:b/>
                <w:bCs/>
                <w:color w:val="000000" w:themeColor="text1"/>
                <w:sz w:val="18"/>
                <w:szCs w:val="18"/>
              </w:rPr>
            </w:pPr>
          </w:p>
          <w:p w14:paraId="23356704" w14:textId="2ADDEA29" w:rsidR="5CA7425E" w:rsidRDefault="5CA7425E" w:rsidP="5CA7425E">
            <w:pPr>
              <w:spacing w:after="0" w:line="240" w:lineRule="auto"/>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Overall</w:t>
            </w:r>
          </w:p>
        </w:tc>
        <w:tc>
          <w:tcPr>
            <w:tcW w:w="1395" w:type="dxa"/>
            <w:tcBorders>
              <w:top w:val="single" w:sz="6" w:space="0" w:color="auto"/>
              <w:bottom w:val="single" w:sz="6" w:space="0" w:color="auto"/>
            </w:tcBorders>
            <w:shd w:val="clear" w:color="auto" w:fill="FFFFFF" w:themeFill="background1"/>
            <w:tcMar>
              <w:left w:w="90" w:type="dxa"/>
              <w:right w:w="90" w:type="dxa"/>
            </w:tcMar>
          </w:tcPr>
          <w:p w14:paraId="39ECF38B" w14:textId="30AA3DDF" w:rsidR="5CA7425E" w:rsidRDefault="5CA7425E" w:rsidP="5CA7425E">
            <w:pPr>
              <w:spacing w:after="0" w:line="240" w:lineRule="auto"/>
              <w:jc w:val="center"/>
              <w:rPr>
                <w:rFonts w:ascii="Arial" w:eastAsia="Arial" w:hAnsi="Arial" w:cs="Arial"/>
                <w:sz w:val="18"/>
                <w:szCs w:val="18"/>
              </w:rPr>
            </w:pPr>
          </w:p>
          <w:p w14:paraId="3CA805DE" w14:textId="030AF9E6" w:rsidR="5CA7425E" w:rsidRDefault="5CA7425E" w:rsidP="5CA7425E">
            <w:pPr>
              <w:spacing w:after="0" w:line="240" w:lineRule="auto"/>
              <w:jc w:val="center"/>
              <w:rPr>
                <w:rFonts w:ascii="Arial" w:eastAsia="Arial" w:hAnsi="Arial" w:cs="Arial"/>
                <w:sz w:val="18"/>
                <w:szCs w:val="18"/>
              </w:rPr>
            </w:pPr>
            <w:r w:rsidRPr="5CA7425E">
              <w:rPr>
                <w:rFonts w:ascii="Arial" w:eastAsia="Arial" w:hAnsi="Arial" w:cs="Arial"/>
                <w:sz w:val="18"/>
                <w:szCs w:val="18"/>
              </w:rPr>
              <w:t>2.1/1.0 (3-34)</w:t>
            </w:r>
          </w:p>
        </w:tc>
        <w:tc>
          <w:tcPr>
            <w:tcW w:w="1710" w:type="dxa"/>
            <w:tcBorders>
              <w:top w:val="single" w:sz="6" w:space="0" w:color="auto"/>
              <w:bottom w:val="single" w:sz="6" w:space="0" w:color="auto"/>
            </w:tcBorders>
            <w:shd w:val="clear" w:color="auto" w:fill="FFFFFF" w:themeFill="background1"/>
            <w:tcMar>
              <w:left w:w="90" w:type="dxa"/>
              <w:right w:w="90" w:type="dxa"/>
            </w:tcMar>
          </w:tcPr>
          <w:p w14:paraId="639482FF" w14:textId="2F0DFBAB" w:rsidR="5CA7425E" w:rsidRDefault="5CA7425E" w:rsidP="5CA7425E">
            <w:pPr>
              <w:spacing w:after="0" w:line="240" w:lineRule="auto"/>
              <w:jc w:val="center"/>
              <w:rPr>
                <w:rFonts w:ascii="Arial" w:eastAsia="Arial" w:hAnsi="Arial" w:cs="Arial"/>
                <w:sz w:val="18"/>
                <w:szCs w:val="18"/>
              </w:rPr>
            </w:pPr>
          </w:p>
          <w:p w14:paraId="0CFC55F1" w14:textId="6C195C01" w:rsidR="5CA7425E" w:rsidRDefault="5CA7425E" w:rsidP="5CA7425E">
            <w:pPr>
              <w:spacing w:after="0" w:line="240" w:lineRule="auto"/>
              <w:jc w:val="center"/>
              <w:rPr>
                <w:rFonts w:ascii="Arial" w:eastAsia="Arial" w:hAnsi="Arial" w:cs="Arial"/>
                <w:sz w:val="18"/>
                <w:szCs w:val="18"/>
              </w:rPr>
            </w:pPr>
            <w:r w:rsidRPr="5CA7425E">
              <w:rPr>
                <w:rFonts w:ascii="Arial" w:eastAsia="Arial" w:hAnsi="Arial" w:cs="Arial"/>
                <w:sz w:val="18"/>
                <w:szCs w:val="18"/>
              </w:rPr>
              <w:t>3.7/0 (0-38.0)</w:t>
            </w:r>
          </w:p>
        </w:tc>
        <w:tc>
          <w:tcPr>
            <w:tcW w:w="1545" w:type="dxa"/>
            <w:tcBorders>
              <w:top w:val="single" w:sz="6" w:space="0" w:color="auto"/>
              <w:bottom w:val="single" w:sz="6" w:space="0" w:color="auto"/>
              <w:right w:val="single" w:sz="6" w:space="0" w:color="000000" w:themeColor="text1"/>
            </w:tcBorders>
            <w:tcMar>
              <w:left w:w="90" w:type="dxa"/>
              <w:right w:w="90" w:type="dxa"/>
            </w:tcMar>
          </w:tcPr>
          <w:p w14:paraId="0F579E1C" w14:textId="2FBF8391" w:rsidR="5CA7425E" w:rsidRDefault="5CA7425E" w:rsidP="5CA7425E">
            <w:pPr>
              <w:spacing w:after="0" w:line="240" w:lineRule="auto"/>
              <w:jc w:val="center"/>
              <w:rPr>
                <w:rFonts w:ascii="Arial" w:eastAsia="Arial" w:hAnsi="Arial" w:cs="Arial"/>
                <w:sz w:val="18"/>
                <w:szCs w:val="18"/>
              </w:rPr>
            </w:pPr>
          </w:p>
          <w:p w14:paraId="4AB275EF" w14:textId="56BCF355" w:rsidR="5CA7425E" w:rsidRDefault="5CA7425E" w:rsidP="5CA7425E">
            <w:pPr>
              <w:spacing w:after="0" w:line="240" w:lineRule="auto"/>
              <w:jc w:val="center"/>
              <w:rPr>
                <w:rFonts w:ascii="Arial" w:eastAsia="Arial" w:hAnsi="Arial" w:cs="Arial"/>
                <w:sz w:val="18"/>
                <w:szCs w:val="18"/>
              </w:rPr>
            </w:pPr>
            <w:r w:rsidRPr="5CA7425E">
              <w:rPr>
                <w:rFonts w:ascii="Arial" w:eastAsia="Arial" w:hAnsi="Arial" w:cs="Arial"/>
                <w:sz w:val="18"/>
                <w:szCs w:val="18"/>
              </w:rPr>
              <w:t>1.9/1.0 (1.0-6.0)</w:t>
            </w:r>
          </w:p>
        </w:tc>
        <w:tc>
          <w:tcPr>
            <w:tcW w:w="1560" w:type="dxa"/>
            <w:tcBorders>
              <w:top w:val="single" w:sz="6" w:space="0" w:color="auto"/>
              <w:left w:val="single" w:sz="6" w:space="0" w:color="000000" w:themeColor="text1"/>
              <w:bottom w:val="single" w:sz="6" w:space="0" w:color="auto"/>
              <w:right w:val="single" w:sz="6" w:space="0" w:color="FFFFFF" w:themeColor="background1"/>
            </w:tcBorders>
            <w:shd w:val="clear" w:color="auto" w:fill="FFFFFF" w:themeFill="background1"/>
            <w:tcMar>
              <w:left w:w="90" w:type="dxa"/>
              <w:right w:w="90" w:type="dxa"/>
            </w:tcMar>
          </w:tcPr>
          <w:p w14:paraId="7393EF0E" w14:textId="3E76DA56" w:rsidR="5CA7425E" w:rsidRDefault="5CA7425E" w:rsidP="5CA7425E">
            <w:pPr>
              <w:spacing w:after="0" w:line="240" w:lineRule="auto"/>
              <w:jc w:val="center"/>
              <w:rPr>
                <w:rFonts w:ascii="Arial" w:eastAsia="Arial" w:hAnsi="Arial" w:cs="Arial"/>
                <w:sz w:val="18"/>
                <w:szCs w:val="18"/>
              </w:rPr>
            </w:pPr>
          </w:p>
          <w:p w14:paraId="77CA6034" w14:textId="7C0AC9D9" w:rsidR="5CA7425E" w:rsidRDefault="5CA7425E" w:rsidP="5CA7425E">
            <w:pPr>
              <w:spacing w:after="0" w:line="240" w:lineRule="auto"/>
              <w:jc w:val="center"/>
              <w:rPr>
                <w:rFonts w:ascii="Arial" w:eastAsia="Arial" w:hAnsi="Arial" w:cs="Arial"/>
                <w:sz w:val="18"/>
                <w:szCs w:val="18"/>
              </w:rPr>
            </w:pPr>
            <w:r w:rsidRPr="5CA7425E">
              <w:rPr>
                <w:rFonts w:ascii="Arial" w:eastAsia="Arial" w:hAnsi="Arial" w:cs="Arial"/>
                <w:sz w:val="18"/>
                <w:szCs w:val="18"/>
              </w:rPr>
              <w:t>1.8/1.0 (0-9)</w:t>
            </w:r>
          </w:p>
        </w:tc>
        <w:tc>
          <w:tcPr>
            <w:tcW w:w="1725" w:type="dxa"/>
            <w:tcBorders>
              <w:top w:val="single" w:sz="6" w:space="0" w:color="auto"/>
              <w:left w:val="single" w:sz="6" w:space="0" w:color="FFFFFF" w:themeColor="background1"/>
              <w:bottom w:val="single" w:sz="6" w:space="0" w:color="auto"/>
            </w:tcBorders>
            <w:shd w:val="clear" w:color="auto" w:fill="FFFFFF" w:themeFill="background1"/>
            <w:tcMar>
              <w:left w:w="90" w:type="dxa"/>
              <w:right w:w="90" w:type="dxa"/>
            </w:tcMar>
          </w:tcPr>
          <w:p w14:paraId="698929B0" w14:textId="4F7D574C" w:rsidR="5CA7425E" w:rsidRDefault="5CA7425E" w:rsidP="5CA7425E">
            <w:pPr>
              <w:spacing w:after="0" w:line="240" w:lineRule="auto"/>
              <w:jc w:val="center"/>
              <w:rPr>
                <w:rFonts w:ascii="Arial" w:eastAsia="Arial" w:hAnsi="Arial" w:cs="Arial"/>
                <w:sz w:val="18"/>
                <w:szCs w:val="18"/>
              </w:rPr>
            </w:pPr>
          </w:p>
          <w:p w14:paraId="40AD1730" w14:textId="744C5ED3" w:rsidR="5CA7425E" w:rsidRDefault="5CA7425E" w:rsidP="5CA7425E">
            <w:pPr>
              <w:spacing w:after="0" w:line="240" w:lineRule="auto"/>
              <w:jc w:val="center"/>
              <w:rPr>
                <w:rFonts w:ascii="Arial" w:eastAsia="Arial" w:hAnsi="Arial" w:cs="Arial"/>
                <w:sz w:val="18"/>
                <w:szCs w:val="18"/>
              </w:rPr>
            </w:pPr>
            <w:r w:rsidRPr="5CA7425E">
              <w:rPr>
                <w:rFonts w:ascii="Arial" w:eastAsia="Arial" w:hAnsi="Arial" w:cs="Arial"/>
                <w:sz w:val="18"/>
                <w:szCs w:val="18"/>
              </w:rPr>
              <w:t>2.0/0 (0-19.0)</w:t>
            </w:r>
          </w:p>
        </w:tc>
        <w:tc>
          <w:tcPr>
            <w:tcW w:w="1531" w:type="dxa"/>
            <w:tcBorders>
              <w:top w:val="single" w:sz="6" w:space="0" w:color="auto"/>
              <w:bottom w:val="single" w:sz="6" w:space="0" w:color="auto"/>
              <w:right w:val="single" w:sz="6" w:space="0" w:color="auto"/>
            </w:tcBorders>
            <w:shd w:val="clear" w:color="auto" w:fill="FFFFFF" w:themeFill="background1"/>
            <w:tcMar>
              <w:left w:w="90" w:type="dxa"/>
              <w:right w:w="90" w:type="dxa"/>
            </w:tcMar>
          </w:tcPr>
          <w:p w14:paraId="3A2AD3DE" w14:textId="2E528380" w:rsidR="5CA7425E" w:rsidRDefault="5CA7425E" w:rsidP="5CA7425E">
            <w:pPr>
              <w:spacing w:after="0" w:line="240" w:lineRule="auto"/>
              <w:jc w:val="center"/>
              <w:rPr>
                <w:rFonts w:ascii="Arial" w:eastAsia="Arial" w:hAnsi="Arial" w:cs="Arial"/>
                <w:sz w:val="18"/>
                <w:szCs w:val="18"/>
              </w:rPr>
            </w:pPr>
          </w:p>
          <w:p w14:paraId="62A23FCE" w14:textId="27D173B6" w:rsidR="5CA7425E" w:rsidRDefault="5CA7425E" w:rsidP="5CA7425E">
            <w:pPr>
              <w:spacing w:after="0" w:line="240" w:lineRule="auto"/>
              <w:jc w:val="center"/>
              <w:rPr>
                <w:rFonts w:ascii="Arial" w:eastAsia="Arial" w:hAnsi="Arial" w:cs="Arial"/>
                <w:b/>
                <w:bCs/>
                <w:color w:val="000000" w:themeColor="text1"/>
                <w:sz w:val="18"/>
                <w:szCs w:val="18"/>
              </w:rPr>
            </w:pPr>
            <w:r w:rsidRPr="5CA7425E">
              <w:rPr>
                <w:rFonts w:ascii="Arial" w:eastAsia="Arial" w:hAnsi="Arial" w:cs="Arial"/>
                <w:sz w:val="18"/>
                <w:szCs w:val="18"/>
              </w:rPr>
              <w:t>1.8/1.0 (1.0-5.0)</w:t>
            </w:r>
            <w:r w:rsidRPr="5CA7425E">
              <w:rPr>
                <w:rFonts w:ascii="Arial" w:eastAsia="Arial" w:hAnsi="Arial" w:cs="Arial"/>
                <w:b/>
                <w:bCs/>
                <w:color w:val="000000" w:themeColor="text1"/>
                <w:sz w:val="18"/>
                <w:szCs w:val="18"/>
              </w:rPr>
              <w:t xml:space="preserve"> </w:t>
            </w:r>
          </w:p>
        </w:tc>
      </w:tr>
    </w:tbl>
    <w:p w14:paraId="7892BCC4" w14:textId="4AC05451" w:rsidR="5CA7425E" w:rsidRDefault="5CA7425E" w:rsidP="5CA7425E">
      <w:pPr>
        <w:spacing w:after="0" w:line="240" w:lineRule="auto"/>
        <w:ind w:right="720"/>
        <w:rPr>
          <w:rFonts w:ascii="Arial" w:eastAsia="Arial" w:hAnsi="Arial" w:cs="Arial"/>
          <w:b/>
          <w:bCs/>
          <w:color w:val="000000" w:themeColor="text1"/>
          <w:sz w:val="18"/>
          <w:szCs w:val="18"/>
        </w:rPr>
      </w:pPr>
    </w:p>
    <w:p w14:paraId="0987CBD2" w14:textId="2DB4388E" w:rsidR="5CA7425E" w:rsidRDefault="5CA7425E" w:rsidP="5CA7425E">
      <w:pPr>
        <w:spacing w:after="0" w:line="240" w:lineRule="auto"/>
        <w:ind w:right="720"/>
        <w:rPr>
          <w:rFonts w:ascii="Arial" w:eastAsia="Arial" w:hAnsi="Arial" w:cs="Arial"/>
          <w:b/>
          <w:bCs/>
          <w:color w:val="000000" w:themeColor="text1"/>
          <w:sz w:val="18"/>
          <w:szCs w:val="18"/>
        </w:rPr>
      </w:pPr>
    </w:p>
    <w:p w14:paraId="093CDD30" w14:textId="57BD24F2" w:rsidR="5CA7425E" w:rsidRDefault="5CA7425E" w:rsidP="5CA7425E">
      <w:pPr>
        <w:spacing w:after="0" w:line="240" w:lineRule="auto"/>
        <w:ind w:right="720"/>
        <w:rPr>
          <w:rFonts w:ascii="Arial" w:eastAsia="Arial" w:hAnsi="Arial" w:cs="Arial"/>
          <w:b/>
          <w:bCs/>
          <w:color w:val="000000" w:themeColor="text1"/>
          <w:sz w:val="18"/>
          <w:szCs w:val="18"/>
        </w:rPr>
      </w:pPr>
    </w:p>
    <w:p w14:paraId="73DDBB09" w14:textId="77777777" w:rsidR="000A0D74" w:rsidRDefault="000A0D74" w:rsidP="5CA7425E">
      <w:pPr>
        <w:spacing w:after="0" w:line="240" w:lineRule="auto"/>
        <w:ind w:right="720"/>
        <w:rPr>
          <w:rFonts w:ascii="Arial" w:eastAsia="Arial" w:hAnsi="Arial" w:cs="Arial"/>
          <w:b/>
          <w:bCs/>
          <w:color w:val="000000" w:themeColor="text1"/>
          <w:sz w:val="18"/>
          <w:szCs w:val="18"/>
        </w:rPr>
      </w:pPr>
    </w:p>
    <w:p w14:paraId="733BF8A1" w14:textId="1320AE1E" w:rsidR="0041D5C4" w:rsidRDefault="0041D5C4" w:rsidP="5CA7425E">
      <w:pPr>
        <w:spacing w:after="0" w:line="240" w:lineRule="auto"/>
        <w:ind w:left="360" w:right="360"/>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Supplemental Table 4. Incidence rates and hazard ratios of risk of all skin cancers in solid organ transplant recipients (SOTR) compared with individuals with no history of SOTR (non-SOTR) at KPNC, January 2022-March 2024</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55"/>
        <w:gridCol w:w="2415"/>
        <w:gridCol w:w="2415"/>
        <w:gridCol w:w="2730"/>
      </w:tblGrid>
      <w:tr w:rsidR="5CA7425E" w14:paraId="7CC3D0A8" w14:textId="77777777" w:rsidTr="5CA7425E">
        <w:trPr>
          <w:trHeight w:val="300"/>
          <w:jc w:val="center"/>
        </w:trPr>
        <w:tc>
          <w:tcPr>
            <w:tcW w:w="2355" w:type="dxa"/>
            <w:tcBorders>
              <w:top w:val="single" w:sz="6" w:space="0" w:color="auto"/>
              <w:left w:val="single" w:sz="6" w:space="0" w:color="auto"/>
            </w:tcBorders>
            <w:tcMar>
              <w:left w:w="90" w:type="dxa"/>
              <w:right w:w="90" w:type="dxa"/>
            </w:tcMar>
            <w:vAlign w:val="bottom"/>
          </w:tcPr>
          <w:p w14:paraId="7BEFBECE" w14:textId="721A180F" w:rsidR="5CA7425E" w:rsidRDefault="5CA7425E" w:rsidP="5CA7425E">
            <w:pPr>
              <w:spacing w:after="0" w:line="240" w:lineRule="auto"/>
              <w:rPr>
                <w:rFonts w:ascii="Arial" w:eastAsia="Arial" w:hAnsi="Arial" w:cs="Arial"/>
                <w:color w:val="000000" w:themeColor="text1"/>
                <w:sz w:val="18"/>
                <w:szCs w:val="18"/>
              </w:rPr>
            </w:pPr>
          </w:p>
        </w:tc>
        <w:tc>
          <w:tcPr>
            <w:tcW w:w="4830" w:type="dxa"/>
            <w:gridSpan w:val="2"/>
            <w:tcBorders>
              <w:top w:val="single" w:sz="6" w:space="0" w:color="auto"/>
              <w:bottom w:val="single" w:sz="6" w:space="0" w:color="auto"/>
            </w:tcBorders>
            <w:tcMar>
              <w:left w:w="90" w:type="dxa"/>
              <w:right w:w="90" w:type="dxa"/>
            </w:tcMar>
            <w:vAlign w:val="bottom"/>
          </w:tcPr>
          <w:p w14:paraId="657322F5" w14:textId="5B81B02D"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 xml:space="preserve">Skin Cancer Incidence </w:t>
            </w:r>
          </w:p>
          <w:p w14:paraId="0565BB0E" w14:textId="3DCB139A"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per 100 person-years (95% CI)</w:t>
            </w:r>
          </w:p>
        </w:tc>
        <w:tc>
          <w:tcPr>
            <w:tcW w:w="2730" w:type="dxa"/>
            <w:vMerge w:val="restart"/>
            <w:tcBorders>
              <w:top w:val="single" w:sz="6" w:space="0" w:color="auto"/>
              <w:bottom w:val="single" w:sz="6" w:space="0" w:color="000000" w:themeColor="text1"/>
              <w:right w:val="single" w:sz="6" w:space="0" w:color="auto"/>
            </w:tcBorders>
            <w:tcMar>
              <w:left w:w="90" w:type="dxa"/>
              <w:right w:w="90" w:type="dxa"/>
            </w:tcMar>
            <w:vAlign w:val="center"/>
          </w:tcPr>
          <w:p w14:paraId="3B2411BE" w14:textId="36DC69E3"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HR (95% CI)</w:t>
            </w:r>
            <w:r w:rsidRPr="5CA7425E">
              <w:rPr>
                <w:rFonts w:ascii="Arial" w:eastAsia="Arial" w:hAnsi="Arial" w:cs="Arial"/>
                <w:b/>
                <w:bCs/>
                <w:color w:val="000000" w:themeColor="text1"/>
                <w:sz w:val="18"/>
                <w:szCs w:val="18"/>
                <w:vertAlign w:val="superscript"/>
              </w:rPr>
              <w:t>2</w:t>
            </w:r>
          </w:p>
        </w:tc>
      </w:tr>
      <w:tr w:rsidR="5CA7425E" w14:paraId="77C8A44B" w14:textId="77777777" w:rsidTr="5CA7425E">
        <w:trPr>
          <w:trHeight w:val="300"/>
          <w:jc w:val="center"/>
        </w:trPr>
        <w:tc>
          <w:tcPr>
            <w:tcW w:w="2355" w:type="dxa"/>
            <w:tcBorders>
              <w:left w:val="single" w:sz="6" w:space="0" w:color="auto"/>
              <w:bottom w:val="single" w:sz="6" w:space="0" w:color="000000" w:themeColor="text1"/>
            </w:tcBorders>
            <w:tcMar>
              <w:left w:w="90" w:type="dxa"/>
              <w:right w:w="90" w:type="dxa"/>
            </w:tcMar>
            <w:vAlign w:val="bottom"/>
          </w:tcPr>
          <w:p w14:paraId="27B711D9" w14:textId="64E50809" w:rsidR="5CA7425E" w:rsidRDefault="5CA7425E" w:rsidP="5CA7425E">
            <w:pPr>
              <w:spacing w:after="0" w:line="240" w:lineRule="auto"/>
              <w:rPr>
                <w:rFonts w:ascii="Arial" w:eastAsia="Arial" w:hAnsi="Arial" w:cs="Arial"/>
                <w:color w:val="000000" w:themeColor="text1"/>
                <w:sz w:val="18"/>
                <w:szCs w:val="18"/>
              </w:rPr>
            </w:pPr>
          </w:p>
        </w:tc>
        <w:tc>
          <w:tcPr>
            <w:tcW w:w="2415" w:type="dxa"/>
            <w:tcBorders>
              <w:top w:val="single" w:sz="6" w:space="0" w:color="auto"/>
              <w:bottom w:val="single" w:sz="6" w:space="0" w:color="000000" w:themeColor="text1"/>
            </w:tcBorders>
            <w:tcMar>
              <w:left w:w="90" w:type="dxa"/>
              <w:right w:w="90" w:type="dxa"/>
            </w:tcMar>
            <w:vAlign w:val="bottom"/>
          </w:tcPr>
          <w:p w14:paraId="6159C2AC" w14:textId="0ADA14F2"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SOTR</w:t>
            </w:r>
            <w:r>
              <w:br/>
            </w:r>
            <w:r w:rsidRPr="5CA7425E">
              <w:rPr>
                <w:rFonts w:ascii="Arial" w:eastAsia="Arial" w:hAnsi="Arial" w:cs="Arial"/>
                <w:b/>
                <w:bCs/>
                <w:color w:val="000000" w:themeColor="text1"/>
                <w:sz w:val="18"/>
                <w:szCs w:val="18"/>
              </w:rPr>
              <w:t>(n=2,083)</w:t>
            </w:r>
          </w:p>
        </w:tc>
        <w:tc>
          <w:tcPr>
            <w:tcW w:w="2415" w:type="dxa"/>
            <w:tcBorders>
              <w:top w:val="single" w:sz="6" w:space="0" w:color="auto"/>
              <w:bottom w:val="single" w:sz="6" w:space="0" w:color="000000" w:themeColor="text1"/>
            </w:tcBorders>
            <w:tcMar>
              <w:left w:w="90" w:type="dxa"/>
              <w:right w:w="90" w:type="dxa"/>
            </w:tcMar>
            <w:vAlign w:val="bottom"/>
          </w:tcPr>
          <w:p w14:paraId="55277765" w14:textId="094DBC0F" w:rsidR="5CA7425E" w:rsidRDefault="5CA7425E" w:rsidP="5CA7425E">
            <w:pPr>
              <w:spacing w:after="0" w:line="240" w:lineRule="auto"/>
              <w:jc w:val="center"/>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Non-SOTR</w:t>
            </w:r>
            <w:r w:rsidRPr="5CA7425E">
              <w:rPr>
                <w:rFonts w:ascii="Arial" w:eastAsia="Arial" w:hAnsi="Arial" w:cs="Arial"/>
                <w:b/>
                <w:bCs/>
                <w:color w:val="000000" w:themeColor="text1"/>
                <w:sz w:val="18"/>
                <w:szCs w:val="18"/>
                <w:vertAlign w:val="superscript"/>
              </w:rPr>
              <w:t>1</w:t>
            </w:r>
            <w:r w:rsidRPr="5CA7425E">
              <w:rPr>
                <w:rFonts w:ascii="Arial" w:eastAsia="Arial" w:hAnsi="Arial" w:cs="Arial"/>
                <w:b/>
                <w:bCs/>
                <w:color w:val="000000" w:themeColor="text1"/>
                <w:sz w:val="18"/>
                <w:szCs w:val="18"/>
              </w:rPr>
              <w:t xml:space="preserve"> (n=26,199)</w:t>
            </w:r>
          </w:p>
        </w:tc>
        <w:tc>
          <w:tcPr>
            <w:tcW w:w="2730" w:type="dxa"/>
            <w:vMerge/>
            <w:tcBorders>
              <w:right w:val="single" w:sz="0" w:space="0" w:color="auto"/>
            </w:tcBorders>
            <w:vAlign w:val="center"/>
          </w:tcPr>
          <w:p w14:paraId="25FEC853" w14:textId="77777777" w:rsidR="00370E79" w:rsidRDefault="00370E79"/>
        </w:tc>
      </w:tr>
      <w:tr w:rsidR="5CA7425E" w14:paraId="5BC4C4A1" w14:textId="77777777" w:rsidTr="5CA7425E">
        <w:trPr>
          <w:trHeight w:val="300"/>
          <w:jc w:val="center"/>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bottom"/>
          </w:tcPr>
          <w:p w14:paraId="2ADFC47A" w14:textId="01371854" w:rsidR="5CA7425E" w:rsidRDefault="5CA7425E" w:rsidP="5CA7425E">
            <w:pPr>
              <w:spacing w:after="0" w:line="240" w:lineRule="auto"/>
              <w:rPr>
                <w:rFonts w:ascii="Arial" w:eastAsia="Arial" w:hAnsi="Arial" w:cs="Arial"/>
                <w:b/>
                <w:bCs/>
                <w:color w:val="000000" w:themeColor="text1"/>
                <w:sz w:val="18"/>
                <w:szCs w:val="18"/>
              </w:rPr>
            </w:pPr>
          </w:p>
          <w:p w14:paraId="1F5DD1D3" w14:textId="72DDB5E5" w:rsidR="5CA7425E" w:rsidRDefault="5CA7425E" w:rsidP="5CA7425E">
            <w:pPr>
              <w:spacing w:after="0" w:line="240" w:lineRule="auto"/>
              <w:rPr>
                <w:rFonts w:ascii="Arial" w:eastAsia="Arial" w:hAnsi="Arial" w:cs="Arial"/>
                <w:color w:val="000000" w:themeColor="text1"/>
                <w:sz w:val="18"/>
                <w:szCs w:val="18"/>
              </w:rPr>
            </w:pPr>
            <w:r w:rsidRPr="5CA7425E">
              <w:rPr>
                <w:rFonts w:ascii="Arial" w:eastAsia="Arial" w:hAnsi="Arial" w:cs="Arial"/>
                <w:b/>
                <w:bCs/>
                <w:color w:val="000000" w:themeColor="text1"/>
                <w:sz w:val="18"/>
                <w:szCs w:val="18"/>
              </w:rPr>
              <w:t xml:space="preserve">SOTR vs </w:t>
            </w:r>
            <w:proofErr w:type="gramStart"/>
            <w:r w:rsidRPr="5CA7425E">
              <w:rPr>
                <w:rFonts w:ascii="Arial" w:eastAsia="Arial" w:hAnsi="Arial" w:cs="Arial"/>
                <w:b/>
                <w:bCs/>
                <w:color w:val="000000" w:themeColor="text1"/>
                <w:sz w:val="18"/>
                <w:szCs w:val="18"/>
              </w:rPr>
              <w:t>Non-SOTR</w:t>
            </w:r>
            <w:proofErr w:type="gramEnd"/>
          </w:p>
          <w:p w14:paraId="4681E603" w14:textId="1F040527" w:rsidR="5CA7425E" w:rsidRDefault="5CA7425E" w:rsidP="5CA7425E">
            <w:pPr>
              <w:spacing w:after="0" w:line="240" w:lineRule="auto"/>
              <w:rPr>
                <w:rFonts w:ascii="Arial" w:eastAsia="Arial" w:hAnsi="Arial" w:cs="Arial"/>
                <w:b/>
                <w:bCs/>
                <w:color w:val="000000" w:themeColor="text1"/>
                <w:sz w:val="18"/>
                <w:szCs w:val="18"/>
              </w:rPr>
            </w:pP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bottom"/>
          </w:tcPr>
          <w:p w14:paraId="13E0359C" w14:textId="78F7F9FE" w:rsidR="5CA7425E" w:rsidRDefault="5CA7425E" w:rsidP="5CA7425E">
            <w:pPr>
              <w:spacing w:after="0" w:line="240" w:lineRule="auto"/>
              <w:jc w:val="center"/>
              <w:rPr>
                <w:rFonts w:ascii="Arial" w:eastAsia="Arial" w:hAnsi="Arial" w:cs="Arial"/>
                <w:sz w:val="18"/>
                <w:szCs w:val="18"/>
              </w:rPr>
            </w:pPr>
            <w:r w:rsidRPr="5CA7425E">
              <w:rPr>
                <w:rFonts w:ascii="Arial" w:eastAsia="Arial" w:hAnsi="Arial" w:cs="Arial"/>
                <w:sz w:val="18"/>
                <w:szCs w:val="18"/>
              </w:rPr>
              <w:t>2.36 (2.04, 2.73)</w:t>
            </w:r>
          </w:p>
          <w:p w14:paraId="1FC30AC1" w14:textId="1467F6C0" w:rsidR="5CA7425E" w:rsidRDefault="5CA7425E" w:rsidP="5CA7425E">
            <w:pPr>
              <w:spacing w:after="0" w:line="240" w:lineRule="auto"/>
              <w:jc w:val="center"/>
              <w:rPr>
                <w:rFonts w:ascii="Arial" w:eastAsia="Arial" w:hAnsi="Arial" w:cs="Arial"/>
                <w:sz w:val="18"/>
                <w:szCs w:val="18"/>
              </w:rPr>
            </w:pPr>
          </w:p>
        </w:tc>
        <w:tc>
          <w:tcPr>
            <w:tcW w:w="2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bottom"/>
          </w:tcPr>
          <w:p w14:paraId="7B3430CA" w14:textId="390C3FB9" w:rsidR="5CA7425E" w:rsidRDefault="5CA7425E" w:rsidP="5CA7425E">
            <w:pPr>
              <w:spacing w:after="0" w:line="240" w:lineRule="auto"/>
              <w:jc w:val="center"/>
              <w:rPr>
                <w:rFonts w:ascii="Arial" w:eastAsia="Arial" w:hAnsi="Arial" w:cs="Arial"/>
                <w:sz w:val="18"/>
                <w:szCs w:val="18"/>
              </w:rPr>
            </w:pPr>
            <w:r w:rsidRPr="5CA7425E">
              <w:rPr>
                <w:rFonts w:ascii="Arial" w:eastAsia="Arial" w:hAnsi="Arial" w:cs="Arial"/>
                <w:sz w:val="18"/>
                <w:szCs w:val="18"/>
              </w:rPr>
              <w:t>0.12 (0.10, 0.15)</w:t>
            </w:r>
          </w:p>
          <w:p w14:paraId="5BFB48BF" w14:textId="1E4E53A5" w:rsidR="5CA7425E" w:rsidRDefault="5CA7425E" w:rsidP="5CA7425E">
            <w:pPr>
              <w:spacing w:after="0" w:line="240" w:lineRule="auto"/>
              <w:jc w:val="center"/>
              <w:rPr>
                <w:rFonts w:ascii="Arial" w:eastAsia="Arial" w:hAnsi="Arial" w:cs="Arial"/>
                <w:sz w:val="18"/>
                <w:szCs w:val="18"/>
              </w:rPr>
            </w:pPr>
          </w:p>
        </w:tc>
        <w:tc>
          <w:tcPr>
            <w:tcW w:w="27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bottom"/>
          </w:tcPr>
          <w:p w14:paraId="45D1807B" w14:textId="1326E612" w:rsidR="5CA7425E" w:rsidRDefault="5CA7425E" w:rsidP="5CA7425E">
            <w:pPr>
              <w:spacing w:after="0" w:line="240" w:lineRule="auto"/>
              <w:jc w:val="center"/>
              <w:rPr>
                <w:rFonts w:ascii="Arial" w:eastAsia="Arial" w:hAnsi="Arial" w:cs="Arial"/>
                <w:sz w:val="18"/>
                <w:szCs w:val="18"/>
              </w:rPr>
            </w:pPr>
            <w:r w:rsidRPr="5CA7425E">
              <w:rPr>
                <w:rFonts w:ascii="Arial" w:eastAsia="Arial" w:hAnsi="Arial" w:cs="Arial"/>
                <w:sz w:val="18"/>
                <w:szCs w:val="18"/>
              </w:rPr>
              <w:t>7.78 (5.97, 10.1)</w:t>
            </w:r>
          </w:p>
          <w:p w14:paraId="5034C1D1" w14:textId="5E4F2BE8" w:rsidR="5CA7425E" w:rsidRDefault="5CA7425E" w:rsidP="5CA7425E">
            <w:pPr>
              <w:spacing w:after="0" w:line="240" w:lineRule="auto"/>
              <w:jc w:val="center"/>
              <w:rPr>
                <w:rFonts w:ascii="Arial" w:eastAsia="Arial" w:hAnsi="Arial" w:cs="Arial"/>
                <w:sz w:val="18"/>
                <w:szCs w:val="18"/>
              </w:rPr>
            </w:pPr>
          </w:p>
        </w:tc>
      </w:tr>
      <w:tr w:rsidR="5CA7425E" w14:paraId="76D38098" w14:textId="77777777" w:rsidTr="5CA7425E">
        <w:trPr>
          <w:trHeight w:val="300"/>
          <w:jc w:val="center"/>
        </w:trPr>
        <w:tc>
          <w:tcPr>
            <w:tcW w:w="9915" w:type="dxa"/>
            <w:gridSpan w:val="4"/>
            <w:tcBorders>
              <w:left w:val="single" w:sz="6" w:space="0" w:color="auto"/>
              <w:right w:val="single" w:sz="6" w:space="0" w:color="auto"/>
            </w:tcBorders>
            <w:tcMar>
              <w:left w:w="90" w:type="dxa"/>
              <w:right w:w="90" w:type="dxa"/>
            </w:tcMar>
            <w:vAlign w:val="bottom"/>
          </w:tcPr>
          <w:p w14:paraId="34AD1223" w14:textId="600785AE" w:rsidR="5CA7425E" w:rsidRDefault="5CA7425E" w:rsidP="5CA7425E">
            <w:pPr>
              <w:spacing w:after="0" w:line="240" w:lineRule="auto"/>
              <w:rPr>
                <w:rFonts w:ascii="Arial" w:eastAsia="Arial" w:hAnsi="Arial" w:cs="Arial"/>
                <w:color w:val="000000" w:themeColor="text1"/>
                <w:sz w:val="18"/>
                <w:szCs w:val="18"/>
              </w:rPr>
            </w:pPr>
            <w:r w:rsidRPr="5CA7425E">
              <w:rPr>
                <w:rFonts w:ascii="Arial" w:eastAsia="Arial" w:hAnsi="Arial" w:cs="Arial"/>
                <w:color w:val="000000" w:themeColor="text1"/>
                <w:sz w:val="18"/>
                <w:szCs w:val="18"/>
                <w:vertAlign w:val="superscript"/>
              </w:rPr>
              <w:t xml:space="preserve">1 </w:t>
            </w:r>
            <w:r w:rsidRPr="5CA7425E">
              <w:rPr>
                <w:rFonts w:ascii="Arial" w:eastAsia="Arial" w:hAnsi="Arial" w:cs="Arial"/>
                <w:color w:val="000000" w:themeColor="text1"/>
                <w:sz w:val="18"/>
                <w:szCs w:val="18"/>
              </w:rPr>
              <w:t>Matched on sex, race/ethnicity, and facility</w:t>
            </w:r>
          </w:p>
        </w:tc>
      </w:tr>
      <w:tr w:rsidR="5CA7425E" w14:paraId="54D31487" w14:textId="77777777" w:rsidTr="5CA7425E">
        <w:trPr>
          <w:trHeight w:val="300"/>
          <w:jc w:val="center"/>
        </w:trPr>
        <w:tc>
          <w:tcPr>
            <w:tcW w:w="9915" w:type="dxa"/>
            <w:gridSpan w:val="4"/>
            <w:tcBorders>
              <w:left w:val="single" w:sz="6" w:space="0" w:color="auto"/>
              <w:bottom w:val="single" w:sz="6" w:space="0" w:color="auto"/>
              <w:right w:val="single" w:sz="6" w:space="0" w:color="auto"/>
            </w:tcBorders>
            <w:tcMar>
              <w:left w:w="90" w:type="dxa"/>
              <w:right w:w="90" w:type="dxa"/>
            </w:tcMar>
            <w:vAlign w:val="bottom"/>
          </w:tcPr>
          <w:p w14:paraId="65267DD8" w14:textId="6A75A2B2" w:rsidR="5CA7425E" w:rsidRDefault="5CA7425E" w:rsidP="5CA7425E">
            <w:pPr>
              <w:spacing w:after="0" w:line="240" w:lineRule="auto"/>
              <w:rPr>
                <w:rFonts w:ascii="Arial" w:eastAsia="Arial" w:hAnsi="Arial" w:cs="Arial"/>
                <w:color w:val="000000" w:themeColor="text1"/>
                <w:sz w:val="18"/>
                <w:szCs w:val="18"/>
              </w:rPr>
            </w:pPr>
            <w:r w:rsidRPr="5CA7425E">
              <w:rPr>
                <w:rFonts w:ascii="Arial" w:eastAsia="Arial" w:hAnsi="Arial" w:cs="Arial"/>
                <w:color w:val="000000" w:themeColor="text1"/>
                <w:sz w:val="18"/>
                <w:szCs w:val="18"/>
                <w:vertAlign w:val="superscript"/>
              </w:rPr>
              <w:t xml:space="preserve">2 </w:t>
            </w:r>
            <w:r w:rsidRPr="5CA7425E">
              <w:rPr>
                <w:rFonts w:ascii="Arial" w:eastAsia="Arial" w:hAnsi="Arial" w:cs="Arial"/>
                <w:color w:val="000000" w:themeColor="text1"/>
                <w:sz w:val="18"/>
                <w:szCs w:val="18"/>
              </w:rPr>
              <w:t>Hazard Ratio (HR) and Confidence Interval (CI) estimated from Cox proportional hazards model adjusted for other covariates in the table</w:t>
            </w:r>
          </w:p>
        </w:tc>
      </w:tr>
    </w:tbl>
    <w:p w14:paraId="6F62818A" w14:textId="115CFA66" w:rsidR="5CA7425E" w:rsidRDefault="5CA7425E" w:rsidP="5CA7425E">
      <w:pPr>
        <w:spacing w:line="240" w:lineRule="auto"/>
        <w:rPr>
          <w:rFonts w:ascii="Aptos" w:eastAsia="Aptos" w:hAnsi="Aptos" w:cs="Aptos"/>
          <w:color w:val="000000" w:themeColor="text1"/>
          <w:sz w:val="18"/>
          <w:szCs w:val="18"/>
        </w:rPr>
      </w:pPr>
    </w:p>
    <w:p w14:paraId="493CC241" w14:textId="49295EEF" w:rsidR="5CA7425E" w:rsidRDefault="5CA7425E" w:rsidP="5CA7425E">
      <w:pPr>
        <w:spacing w:after="0" w:line="240" w:lineRule="auto"/>
        <w:rPr>
          <w:sz w:val="18"/>
          <w:szCs w:val="18"/>
        </w:rPr>
      </w:pPr>
    </w:p>
    <w:sectPr w:rsidR="5CA7425E" w:rsidSect="00D2453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7B8F6" w14:textId="77777777" w:rsidR="004B6069" w:rsidRDefault="004B6069">
      <w:pPr>
        <w:spacing w:after="0" w:line="240" w:lineRule="auto"/>
      </w:pPr>
      <w:r>
        <w:separator/>
      </w:r>
    </w:p>
  </w:endnote>
  <w:endnote w:type="continuationSeparator" w:id="0">
    <w:p w14:paraId="0165338D" w14:textId="77777777" w:rsidR="004B6069" w:rsidRDefault="004B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CA7425E" w14:paraId="1E3080B8" w14:textId="77777777" w:rsidTr="5CA7425E">
      <w:trPr>
        <w:trHeight w:val="300"/>
      </w:trPr>
      <w:tc>
        <w:tcPr>
          <w:tcW w:w="3600" w:type="dxa"/>
        </w:tcPr>
        <w:p w14:paraId="72E0560F" w14:textId="69B9BB0A" w:rsidR="5CA7425E" w:rsidRDefault="5CA7425E" w:rsidP="5CA7425E">
          <w:pPr>
            <w:pStyle w:val="Header"/>
            <w:ind w:left="-115"/>
          </w:pPr>
        </w:p>
      </w:tc>
      <w:tc>
        <w:tcPr>
          <w:tcW w:w="3600" w:type="dxa"/>
        </w:tcPr>
        <w:p w14:paraId="1465E1E8" w14:textId="41F62DB7" w:rsidR="5CA7425E" w:rsidRDefault="5CA7425E" w:rsidP="5CA7425E">
          <w:pPr>
            <w:pStyle w:val="Header"/>
            <w:jc w:val="center"/>
          </w:pPr>
        </w:p>
      </w:tc>
      <w:tc>
        <w:tcPr>
          <w:tcW w:w="3600" w:type="dxa"/>
        </w:tcPr>
        <w:p w14:paraId="55047AAC" w14:textId="40CF78AE" w:rsidR="5CA7425E" w:rsidRDefault="5CA7425E" w:rsidP="5CA7425E">
          <w:pPr>
            <w:pStyle w:val="Header"/>
            <w:ind w:right="-115"/>
            <w:jc w:val="right"/>
          </w:pPr>
        </w:p>
      </w:tc>
    </w:tr>
  </w:tbl>
  <w:p w14:paraId="045C534D" w14:textId="2170F0F7" w:rsidR="5CA7425E" w:rsidRDefault="5CA7425E" w:rsidP="5CA74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A8690" w14:textId="77777777" w:rsidR="004B6069" w:rsidRDefault="004B6069">
      <w:pPr>
        <w:spacing w:after="0" w:line="240" w:lineRule="auto"/>
      </w:pPr>
      <w:r>
        <w:separator/>
      </w:r>
    </w:p>
  </w:footnote>
  <w:footnote w:type="continuationSeparator" w:id="0">
    <w:p w14:paraId="405B4F4E" w14:textId="77777777" w:rsidR="004B6069" w:rsidRDefault="004B6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CA7425E" w14:paraId="7D15A0C9" w14:textId="77777777" w:rsidTr="5CA7425E">
      <w:trPr>
        <w:trHeight w:val="300"/>
      </w:trPr>
      <w:tc>
        <w:tcPr>
          <w:tcW w:w="3600" w:type="dxa"/>
        </w:tcPr>
        <w:p w14:paraId="0D2D9B01" w14:textId="131C08C7" w:rsidR="5CA7425E" w:rsidRDefault="5CA7425E" w:rsidP="5CA7425E">
          <w:pPr>
            <w:pStyle w:val="Header"/>
            <w:ind w:left="-115"/>
          </w:pPr>
        </w:p>
      </w:tc>
      <w:tc>
        <w:tcPr>
          <w:tcW w:w="3600" w:type="dxa"/>
        </w:tcPr>
        <w:p w14:paraId="04C36AD2" w14:textId="7FB9C408" w:rsidR="5CA7425E" w:rsidRDefault="5CA7425E" w:rsidP="5CA7425E">
          <w:pPr>
            <w:pStyle w:val="Header"/>
            <w:jc w:val="center"/>
          </w:pPr>
        </w:p>
      </w:tc>
      <w:tc>
        <w:tcPr>
          <w:tcW w:w="3600" w:type="dxa"/>
        </w:tcPr>
        <w:p w14:paraId="467F5BBC" w14:textId="07FADC4C" w:rsidR="5CA7425E" w:rsidRDefault="5CA7425E" w:rsidP="5CA7425E">
          <w:pPr>
            <w:pStyle w:val="Header"/>
            <w:ind w:right="-115"/>
            <w:jc w:val="right"/>
          </w:pPr>
        </w:p>
      </w:tc>
    </w:tr>
  </w:tbl>
  <w:p w14:paraId="34A1401E" w14:textId="2ECF8C4F" w:rsidR="5CA7425E" w:rsidRDefault="5CA7425E" w:rsidP="5CA74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5B2C7"/>
    <w:multiLevelType w:val="hybridMultilevel"/>
    <w:tmpl w:val="B114EEC4"/>
    <w:lvl w:ilvl="0" w:tplc="96640A7E">
      <w:start w:val="1"/>
      <w:numFmt w:val="decimal"/>
      <w:lvlText w:val="%1."/>
      <w:lvlJc w:val="left"/>
      <w:pPr>
        <w:ind w:left="720" w:hanging="360"/>
      </w:pPr>
    </w:lvl>
    <w:lvl w:ilvl="1" w:tplc="EEFE3A7C">
      <w:start w:val="1"/>
      <w:numFmt w:val="lowerLetter"/>
      <w:lvlText w:val="%2."/>
      <w:lvlJc w:val="left"/>
      <w:pPr>
        <w:ind w:left="1440" w:hanging="360"/>
      </w:pPr>
    </w:lvl>
    <w:lvl w:ilvl="2" w:tplc="1F08C7FA">
      <w:start w:val="1"/>
      <w:numFmt w:val="lowerRoman"/>
      <w:lvlText w:val="%3."/>
      <w:lvlJc w:val="right"/>
      <w:pPr>
        <w:ind w:left="2160" w:hanging="180"/>
      </w:pPr>
    </w:lvl>
    <w:lvl w:ilvl="3" w:tplc="647C4428">
      <w:start w:val="1"/>
      <w:numFmt w:val="decimal"/>
      <w:lvlText w:val="%4."/>
      <w:lvlJc w:val="left"/>
      <w:pPr>
        <w:ind w:left="2880" w:hanging="360"/>
      </w:pPr>
    </w:lvl>
    <w:lvl w:ilvl="4" w:tplc="29CCBF04">
      <w:start w:val="1"/>
      <w:numFmt w:val="lowerLetter"/>
      <w:lvlText w:val="%5."/>
      <w:lvlJc w:val="left"/>
      <w:pPr>
        <w:ind w:left="3600" w:hanging="360"/>
      </w:pPr>
    </w:lvl>
    <w:lvl w:ilvl="5" w:tplc="7A4E9E80">
      <w:start w:val="1"/>
      <w:numFmt w:val="lowerRoman"/>
      <w:lvlText w:val="%6."/>
      <w:lvlJc w:val="right"/>
      <w:pPr>
        <w:ind w:left="4320" w:hanging="180"/>
      </w:pPr>
    </w:lvl>
    <w:lvl w:ilvl="6" w:tplc="062055C6">
      <w:start w:val="1"/>
      <w:numFmt w:val="decimal"/>
      <w:lvlText w:val="%7."/>
      <w:lvlJc w:val="left"/>
      <w:pPr>
        <w:ind w:left="5040" w:hanging="360"/>
      </w:pPr>
    </w:lvl>
    <w:lvl w:ilvl="7" w:tplc="1B26D63C">
      <w:start w:val="1"/>
      <w:numFmt w:val="lowerLetter"/>
      <w:lvlText w:val="%8."/>
      <w:lvlJc w:val="left"/>
      <w:pPr>
        <w:ind w:left="5760" w:hanging="360"/>
      </w:pPr>
    </w:lvl>
    <w:lvl w:ilvl="8" w:tplc="3E5EF10A">
      <w:start w:val="1"/>
      <w:numFmt w:val="lowerRoman"/>
      <w:lvlText w:val="%9."/>
      <w:lvlJc w:val="right"/>
      <w:pPr>
        <w:ind w:left="6480" w:hanging="180"/>
      </w:pPr>
    </w:lvl>
  </w:abstractNum>
  <w:num w:numId="1" w16cid:durableId="358165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21E2F"/>
    <w:rsid w:val="000555B4"/>
    <w:rsid w:val="000811DB"/>
    <w:rsid w:val="000A0D74"/>
    <w:rsid w:val="000F1F16"/>
    <w:rsid w:val="00117444"/>
    <w:rsid w:val="001C54E4"/>
    <w:rsid w:val="001D52BB"/>
    <w:rsid w:val="001E348B"/>
    <w:rsid w:val="00213E8A"/>
    <w:rsid w:val="00246A4F"/>
    <w:rsid w:val="002A0D09"/>
    <w:rsid w:val="002A1A00"/>
    <w:rsid w:val="0031051B"/>
    <w:rsid w:val="00355EEF"/>
    <w:rsid w:val="00370E79"/>
    <w:rsid w:val="003C7F5C"/>
    <w:rsid w:val="003D755D"/>
    <w:rsid w:val="003E27D1"/>
    <w:rsid w:val="003E34C5"/>
    <w:rsid w:val="0041D5C4"/>
    <w:rsid w:val="00440DB1"/>
    <w:rsid w:val="00481FDC"/>
    <w:rsid w:val="0048655A"/>
    <w:rsid w:val="004B6069"/>
    <w:rsid w:val="00514319"/>
    <w:rsid w:val="005260AE"/>
    <w:rsid w:val="00580CD7"/>
    <w:rsid w:val="005A610F"/>
    <w:rsid w:val="005D2492"/>
    <w:rsid w:val="00603A6B"/>
    <w:rsid w:val="00671AA8"/>
    <w:rsid w:val="006D32D2"/>
    <w:rsid w:val="0072563B"/>
    <w:rsid w:val="00777238"/>
    <w:rsid w:val="008026F1"/>
    <w:rsid w:val="008131C8"/>
    <w:rsid w:val="00864742"/>
    <w:rsid w:val="008A7C90"/>
    <w:rsid w:val="009001F2"/>
    <w:rsid w:val="00933309"/>
    <w:rsid w:val="00A16BB1"/>
    <w:rsid w:val="00A44E70"/>
    <w:rsid w:val="00AF745E"/>
    <w:rsid w:val="00C3487D"/>
    <w:rsid w:val="00C4025A"/>
    <w:rsid w:val="00C73A94"/>
    <w:rsid w:val="00CB0455"/>
    <w:rsid w:val="00CF4301"/>
    <w:rsid w:val="00D003F1"/>
    <w:rsid w:val="00D24534"/>
    <w:rsid w:val="00D3727A"/>
    <w:rsid w:val="00D66ED2"/>
    <w:rsid w:val="00E647D4"/>
    <w:rsid w:val="00E665FD"/>
    <w:rsid w:val="00EB0401"/>
    <w:rsid w:val="00EF635D"/>
    <w:rsid w:val="00EF665D"/>
    <w:rsid w:val="00FE6194"/>
    <w:rsid w:val="013405FD"/>
    <w:rsid w:val="015127BC"/>
    <w:rsid w:val="01C97486"/>
    <w:rsid w:val="01D4F350"/>
    <w:rsid w:val="032EF88B"/>
    <w:rsid w:val="03770830"/>
    <w:rsid w:val="03858430"/>
    <w:rsid w:val="0396EB02"/>
    <w:rsid w:val="04019008"/>
    <w:rsid w:val="0530BDEE"/>
    <w:rsid w:val="0702CA3C"/>
    <w:rsid w:val="07A18F58"/>
    <w:rsid w:val="07ED9E2B"/>
    <w:rsid w:val="08153DF0"/>
    <w:rsid w:val="08346C68"/>
    <w:rsid w:val="094A6270"/>
    <w:rsid w:val="09CD4E06"/>
    <w:rsid w:val="09F2341C"/>
    <w:rsid w:val="0A2A6EFE"/>
    <w:rsid w:val="0B18CF77"/>
    <w:rsid w:val="0B26DB1B"/>
    <w:rsid w:val="0B4BE6C0"/>
    <w:rsid w:val="0BD25710"/>
    <w:rsid w:val="0D55BCE7"/>
    <w:rsid w:val="0D7EAE54"/>
    <w:rsid w:val="0E54D634"/>
    <w:rsid w:val="0E76C371"/>
    <w:rsid w:val="0F71B122"/>
    <w:rsid w:val="0FD56299"/>
    <w:rsid w:val="103A7FAC"/>
    <w:rsid w:val="110E8263"/>
    <w:rsid w:val="111C6FB4"/>
    <w:rsid w:val="11483228"/>
    <w:rsid w:val="1238113C"/>
    <w:rsid w:val="1260BB77"/>
    <w:rsid w:val="13435655"/>
    <w:rsid w:val="13D9E4BD"/>
    <w:rsid w:val="1444E3C5"/>
    <w:rsid w:val="147DB091"/>
    <w:rsid w:val="154995FF"/>
    <w:rsid w:val="15D75B5A"/>
    <w:rsid w:val="1607E60B"/>
    <w:rsid w:val="162E6E15"/>
    <w:rsid w:val="1672BECB"/>
    <w:rsid w:val="167D75EA"/>
    <w:rsid w:val="1728F9D0"/>
    <w:rsid w:val="17652CBA"/>
    <w:rsid w:val="177C5146"/>
    <w:rsid w:val="178B54FC"/>
    <w:rsid w:val="194EE364"/>
    <w:rsid w:val="19644162"/>
    <w:rsid w:val="19BC4E2B"/>
    <w:rsid w:val="19F93A2D"/>
    <w:rsid w:val="1A40820D"/>
    <w:rsid w:val="1A557A28"/>
    <w:rsid w:val="1A72EAB8"/>
    <w:rsid w:val="1BB11D71"/>
    <w:rsid w:val="1C5B814C"/>
    <w:rsid w:val="1DD1D07E"/>
    <w:rsid w:val="1EA24C71"/>
    <w:rsid w:val="1ECEC44D"/>
    <w:rsid w:val="1EE93063"/>
    <w:rsid w:val="1F80E00B"/>
    <w:rsid w:val="1FA2F0E5"/>
    <w:rsid w:val="1FE866D7"/>
    <w:rsid w:val="200CBFCE"/>
    <w:rsid w:val="21B23884"/>
    <w:rsid w:val="2479AD78"/>
    <w:rsid w:val="25D79F96"/>
    <w:rsid w:val="25DDFF6C"/>
    <w:rsid w:val="2638E2A1"/>
    <w:rsid w:val="26C24808"/>
    <w:rsid w:val="28076C9C"/>
    <w:rsid w:val="289361C3"/>
    <w:rsid w:val="29118616"/>
    <w:rsid w:val="2929BBEF"/>
    <w:rsid w:val="295D486D"/>
    <w:rsid w:val="2A5B7A49"/>
    <w:rsid w:val="2A8EAD81"/>
    <w:rsid w:val="2B3E39E7"/>
    <w:rsid w:val="2B57AF75"/>
    <w:rsid w:val="2B8E51F5"/>
    <w:rsid w:val="2BA92AAA"/>
    <w:rsid w:val="2C3BA2BE"/>
    <w:rsid w:val="2C3D9D79"/>
    <w:rsid w:val="2C8BA773"/>
    <w:rsid w:val="2D0D472B"/>
    <w:rsid w:val="2E02C2E4"/>
    <w:rsid w:val="2E787BAC"/>
    <w:rsid w:val="2EE087F4"/>
    <w:rsid w:val="30340599"/>
    <w:rsid w:val="30A9524E"/>
    <w:rsid w:val="30BD5087"/>
    <w:rsid w:val="31EB3B30"/>
    <w:rsid w:val="32811E9F"/>
    <w:rsid w:val="32DF0E9C"/>
    <w:rsid w:val="357B1FED"/>
    <w:rsid w:val="363A7CC9"/>
    <w:rsid w:val="37906CCF"/>
    <w:rsid w:val="37C74EA4"/>
    <w:rsid w:val="3801E45B"/>
    <w:rsid w:val="38A19E7B"/>
    <w:rsid w:val="396DEE45"/>
    <w:rsid w:val="3A8E649E"/>
    <w:rsid w:val="3B02BA62"/>
    <w:rsid w:val="3B358CFC"/>
    <w:rsid w:val="3BEFD39B"/>
    <w:rsid w:val="3D864C4C"/>
    <w:rsid w:val="3DCD873F"/>
    <w:rsid w:val="3E92E9B0"/>
    <w:rsid w:val="40E4D7FA"/>
    <w:rsid w:val="40ED03C0"/>
    <w:rsid w:val="4114117E"/>
    <w:rsid w:val="4138589B"/>
    <w:rsid w:val="418A8893"/>
    <w:rsid w:val="41BA1B9E"/>
    <w:rsid w:val="41CA136C"/>
    <w:rsid w:val="42CE1EA6"/>
    <w:rsid w:val="441BD89B"/>
    <w:rsid w:val="44582A87"/>
    <w:rsid w:val="4519B439"/>
    <w:rsid w:val="4587508F"/>
    <w:rsid w:val="46D544F5"/>
    <w:rsid w:val="4AC0ADA8"/>
    <w:rsid w:val="4AF7B24D"/>
    <w:rsid w:val="4B8C35B6"/>
    <w:rsid w:val="4B96942C"/>
    <w:rsid w:val="4CE75F34"/>
    <w:rsid w:val="4D2362E9"/>
    <w:rsid w:val="4D367549"/>
    <w:rsid w:val="4E251E9B"/>
    <w:rsid w:val="4E45FDCB"/>
    <w:rsid w:val="4E551E08"/>
    <w:rsid w:val="4F4A217C"/>
    <w:rsid w:val="4FD9BE03"/>
    <w:rsid w:val="4FFC7C3D"/>
    <w:rsid w:val="50411036"/>
    <w:rsid w:val="5118B908"/>
    <w:rsid w:val="523D26FE"/>
    <w:rsid w:val="526ED6C9"/>
    <w:rsid w:val="53D3C0EE"/>
    <w:rsid w:val="53DEDF04"/>
    <w:rsid w:val="55AD26D2"/>
    <w:rsid w:val="56AA5D18"/>
    <w:rsid w:val="56B2C9C1"/>
    <w:rsid w:val="57448D48"/>
    <w:rsid w:val="57658332"/>
    <w:rsid w:val="576BC36A"/>
    <w:rsid w:val="57B848D1"/>
    <w:rsid w:val="57FFF879"/>
    <w:rsid w:val="585A2370"/>
    <w:rsid w:val="59758AD5"/>
    <w:rsid w:val="598D9569"/>
    <w:rsid w:val="599996E4"/>
    <w:rsid w:val="59C0C70A"/>
    <w:rsid w:val="5AC90BC5"/>
    <w:rsid w:val="5AF62641"/>
    <w:rsid w:val="5AF6F8B2"/>
    <w:rsid w:val="5B507B5F"/>
    <w:rsid w:val="5B58D0D5"/>
    <w:rsid w:val="5B99E1AE"/>
    <w:rsid w:val="5BA164BA"/>
    <w:rsid w:val="5C31E3BD"/>
    <w:rsid w:val="5C51B9AC"/>
    <w:rsid w:val="5C68416E"/>
    <w:rsid w:val="5CA130F0"/>
    <w:rsid w:val="5CA7425E"/>
    <w:rsid w:val="5D076D3B"/>
    <w:rsid w:val="5DA78716"/>
    <w:rsid w:val="5DCDE290"/>
    <w:rsid w:val="5E192443"/>
    <w:rsid w:val="5E2875E4"/>
    <w:rsid w:val="5E5D6E58"/>
    <w:rsid w:val="5F30829E"/>
    <w:rsid w:val="60248D3F"/>
    <w:rsid w:val="602B201C"/>
    <w:rsid w:val="60755CD1"/>
    <w:rsid w:val="60E4112A"/>
    <w:rsid w:val="614F3F77"/>
    <w:rsid w:val="6194AAE1"/>
    <w:rsid w:val="61976CD5"/>
    <w:rsid w:val="62862D0E"/>
    <w:rsid w:val="6360EAB0"/>
    <w:rsid w:val="63932013"/>
    <w:rsid w:val="646983D5"/>
    <w:rsid w:val="65E0310D"/>
    <w:rsid w:val="663B9A3D"/>
    <w:rsid w:val="664CCC70"/>
    <w:rsid w:val="66FE71DF"/>
    <w:rsid w:val="696732B9"/>
    <w:rsid w:val="6A3D3D5C"/>
    <w:rsid w:val="6A54C3BE"/>
    <w:rsid w:val="6B22324A"/>
    <w:rsid w:val="6BFD7A4A"/>
    <w:rsid w:val="6CECBF67"/>
    <w:rsid w:val="6D4DEF8C"/>
    <w:rsid w:val="6DEB26A9"/>
    <w:rsid w:val="6EE626E4"/>
    <w:rsid w:val="6FA0A631"/>
    <w:rsid w:val="6FE33940"/>
    <w:rsid w:val="7033EED9"/>
    <w:rsid w:val="71D00315"/>
    <w:rsid w:val="72042A7B"/>
    <w:rsid w:val="7343E845"/>
    <w:rsid w:val="73B570F8"/>
    <w:rsid w:val="753CAB31"/>
    <w:rsid w:val="756C7DA5"/>
    <w:rsid w:val="76300AD1"/>
    <w:rsid w:val="76DF74CE"/>
    <w:rsid w:val="76FFB5EF"/>
    <w:rsid w:val="771131D7"/>
    <w:rsid w:val="77E92EB5"/>
    <w:rsid w:val="77F9F79D"/>
    <w:rsid w:val="78668B09"/>
    <w:rsid w:val="7905FCBB"/>
    <w:rsid w:val="79372281"/>
    <w:rsid w:val="793F911A"/>
    <w:rsid w:val="79F68733"/>
    <w:rsid w:val="7A112783"/>
    <w:rsid w:val="7B38B75B"/>
    <w:rsid w:val="7C31E800"/>
    <w:rsid w:val="7C3EE811"/>
    <w:rsid w:val="7CE212D9"/>
    <w:rsid w:val="7D2FF772"/>
    <w:rsid w:val="7D636F0F"/>
    <w:rsid w:val="7DC1A1DD"/>
    <w:rsid w:val="7E456C8D"/>
    <w:rsid w:val="7F180277"/>
    <w:rsid w:val="7F295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 w:type="character" w:styleId="CommentReference">
    <w:name w:val="annotation reference"/>
    <w:basedOn w:val="DefaultParagraphFont"/>
    <w:uiPriority w:val="99"/>
    <w:semiHidden/>
    <w:unhideWhenUsed/>
    <w:rsid w:val="00D3727A"/>
    <w:rPr>
      <w:sz w:val="16"/>
      <w:szCs w:val="16"/>
    </w:rPr>
  </w:style>
  <w:style w:type="paragraph" w:styleId="CommentText">
    <w:name w:val="annotation text"/>
    <w:basedOn w:val="Normal"/>
    <w:link w:val="CommentTextChar"/>
    <w:uiPriority w:val="99"/>
    <w:unhideWhenUsed/>
    <w:rsid w:val="00D3727A"/>
    <w:pPr>
      <w:spacing w:line="240" w:lineRule="auto"/>
    </w:pPr>
    <w:rPr>
      <w:sz w:val="20"/>
      <w:szCs w:val="20"/>
    </w:rPr>
  </w:style>
  <w:style w:type="character" w:customStyle="1" w:styleId="CommentTextChar">
    <w:name w:val="Comment Text Char"/>
    <w:basedOn w:val="DefaultParagraphFont"/>
    <w:link w:val="CommentText"/>
    <w:uiPriority w:val="99"/>
    <w:rsid w:val="00D3727A"/>
    <w:rPr>
      <w:sz w:val="20"/>
      <w:szCs w:val="20"/>
    </w:rPr>
  </w:style>
  <w:style w:type="paragraph" w:styleId="CommentSubject">
    <w:name w:val="annotation subject"/>
    <w:basedOn w:val="CommentText"/>
    <w:next w:val="CommentText"/>
    <w:link w:val="CommentSubjectChar"/>
    <w:uiPriority w:val="99"/>
    <w:semiHidden/>
    <w:unhideWhenUsed/>
    <w:rsid w:val="00D3727A"/>
    <w:rPr>
      <w:b/>
      <w:bCs/>
    </w:rPr>
  </w:style>
  <w:style w:type="character" w:customStyle="1" w:styleId="CommentSubjectChar">
    <w:name w:val="Comment Subject Char"/>
    <w:basedOn w:val="CommentTextChar"/>
    <w:link w:val="CommentSubject"/>
    <w:uiPriority w:val="99"/>
    <w:semiHidden/>
    <w:rsid w:val="00D3727A"/>
    <w:rPr>
      <w:b/>
      <w:bCs/>
      <w:sz w:val="20"/>
      <w:szCs w:val="20"/>
    </w:rPr>
  </w:style>
  <w:style w:type="paragraph" w:styleId="ListParagraph">
    <w:name w:val="List Paragraph"/>
    <w:basedOn w:val="Normal"/>
    <w:uiPriority w:val="34"/>
    <w:qFormat/>
    <w:rsid w:val="0D55BCE7"/>
    <w:pPr>
      <w:ind w:left="720"/>
      <w:contextualSpacing/>
    </w:pPr>
  </w:style>
  <w:style w:type="character" w:customStyle="1" w:styleId="normaltextrun">
    <w:name w:val="normaltextrun"/>
    <w:basedOn w:val="DefaultParagraphFont"/>
    <w:uiPriority w:val="1"/>
    <w:rsid w:val="5CA7425E"/>
    <w:rPr>
      <w:rFonts w:asciiTheme="minorHAnsi" w:eastAsiaTheme="minorEastAsia" w:hAnsiTheme="minorHAnsi" w:cstheme="minorBidi"/>
      <w:sz w:val="22"/>
      <w:szCs w:val="22"/>
    </w:rPr>
  </w:style>
  <w:style w:type="paragraph" w:styleId="Header">
    <w:name w:val="header"/>
    <w:basedOn w:val="Normal"/>
    <w:uiPriority w:val="99"/>
    <w:unhideWhenUsed/>
    <w:rsid w:val="5CA7425E"/>
    <w:pPr>
      <w:tabs>
        <w:tab w:val="center" w:pos="4680"/>
        <w:tab w:val="right" w:pos="9360"/>
      </w:tabs>
      <w:spacing w:after="0" w:line="240" w:lineRule="auto"/>
    </w:pPr>
  </w:style>
  <w:style w:type="paragraph" w:styleId="Footer">
    <w:name w:val="footer"/>
    <w:basedOn w:val="Normal"/>
    <w:uiPriority w:val="99"/>
    <w:unhideWhenUsed/>
    <w:rsid w:val="5CA7425E"/>
    <w:pPr>
      <w:tabs>
        <w:tab w:val="center" w:pos="4680"/>
        <w:tab w:val="right" w:pos="9360"/>
      </w:tabs>
      <w:spacing w:after="0" w:line="240" w:lineRule="auto"/>
    </w:pPr>
  </w:style>
  <w:style w:type="paragraph" w:styleId="Revision">
    <w:name w:val="Revision"/>
    <w:hidden/>
    <w:uiPriority w:val="99"/>
    <w:semiHidden/>
    <w:rsid w:val="00440D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7647ec-f617-4999-8032-1f453e4c2fb5" xsi:nil="true"/>
    <lcf76f155ced4ddcb4097134ff3c332f xmlns="04c69e7e-30dd-4fc4-b8bc-afeef48eb057">
      <Terms xmlns="http://schemas.microsoft.com/office/infopath/2007/PartnerControls"/>
    </lcf76f155ced4ddcb4097134ff3c332f>
    <SharedWithUsers xmlns="537647ec-f617-4999-8032-1f453e4c2fb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212CF887CC049AE0A16A900E750E9" ma:contentTypeVersion="16" ma:contentTypeDescription="Create a new document." ma:contentTypeScope="" ma:versionID="e7820897ed7d53f990ce26ff01c613e4">
  <xsd:schema xmlns:xsd="http://www.w3.org/2001/XMLSchema" xmlns:xs="http://www.w3.org/2001/XMLSchema" xmlns:p="http://schemas.microsoft.com/office/2006/metadata/properties" xmlns:ns2="04c69e7e-30dd-4fc4-b8bc-afeef48eb057" xmlns:ns3="537647ec-f617-4999-8032-1f453e4c2fb5" targetNamespace="http://schemas.microsoft.com/office/2006/metadata/properties" ma:root="true" ma:fieldsID="f03f827e0e1195eccbc7c3aeef81d122" ns2:_="" ns3:_="">
    <xsd:import namespace="04c69e7e-30dd-4fc4-b8bc-afeef48eb057"/>
    <xsd:import namespace="537647ec-f617-4999-8032-1f453e4c2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69e7e-30dd-4fc4-b8bc-afeef48eb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112196-7e5b-431e-8fea-f50fb91bce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7647ec-f617-4999-8032-1f453e4c2f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ff0bba-50f5-4c0b-b1c3-5fd5d8475422}" ma:internalName="TaxCatchAll" ma:showField="CatchAllData" ma:web="537647ec-f617-4999-8032-1f453e4c2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B8E45-4B7B-44CA-883D-6EABF409C33D}">
  <ds:schemaRefs>
    <ds:schemaRef ds:uri="http://schemas.microsoft.com/sharepoint/v3/contenttype/forms"/>
  </ds:schemaRefs>
</ds:datastoreItem>
</file>

<file path=customXml/itemProps2.xml><?xml version="1.0" encoding="utf-8"?>
<ds:datastoreItem xmlns:ds="http://schemas.openxmlformats.org/officeDocument/2006/customXml" ds:itemID="{AC888A28-5B10-48BE-B8D6-480C75C53C84}">
  <ds:schemaRefs>
    <ds:schemaRef ds:uri="http://schemas.microsoft.com/office/2006/metadata/properties"/>
    <ds:schemaRef ds:uri="http://schemas.microsoft.com/office/infopath/2007/PartnerControls"/>
    <ds:schemaRef ds:uri="3913e869-d955-43e7-ae4f-2f6e80cd9bcd"/>
    <ds:schemaRef ds:uri="dd4e2ef8-9494-45da-b524-75bc8146ec1d"/>
  </ds:schemaRefs>
</ds:datastoreItem>
</file>

<file path=customXml/itemProps3.xml><?xml version="1.0" encoding="utf-8"?>
<ds:datastoreItem xmlns:ds="http://schemas.openxmlformats.org/officeDocument/2006/customXml" ds:itemID="{51A722C9-3001-45DA-AE14-579FBA9240DD}"/>
</file>

<file path=docMetadata/LabelInfo.xml><?xml version="1.0" encoding="utf-8"?>
<clbl:labelList xmlns:clbl="http://schemas.microsoft.com/office/2020/mipLabelMetadata">
  <clbl:label id="{3f8a7bc4-e337-47a5-a0fc-0d512c0e05f1}" enabled="0" method="" siteId="{3f8a7bc4-e337-47a5-a0fc-0d512c0e05f1}"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977</Words>
  <Characters>5572</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Cimone E Durojaiye</cp:lastModifiedBy>
  <cp:revision>3</cp:revision>
  <dcterms:created xsi:type="dcterms:W3CDTF">2025-06-27T20:57:00Z</dcterms:created>
  <dcterms:modified xsi:type="dcterms:W3CDTF">2025-06-27T20:58:00Z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0x0101005E2212CF887CC049AE0A16A900E750E9</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