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12DC" w14:textId="67759C2F" w:rsidR="1A557A28" w:rsidRDefault="007358FD" w:rsidP="4E551E08">
      <w:pPr>
        <w:rPr>
          <w:rFonts w:ascii="Calibri" w:eastAsia="Calibri" w:hAnsi="Calibri" w:cs="Calibri"/>
          <w:color w:val="4472C4" w:themeColor="accent1"/>
          <w:sz w:val="28"/>
          <w:szCs w:val="28"/>
        </w:rPr>
      </w:pPr>
      <w:r>
        <w:rPr>
          <w:rFonts w:ascii="Calibri" w:eastAsia="Calibri" w:hAnsi="Calibri" w:cs="Calibri"/>
          <w:color w:val="4472C4" w:themeColor="accent1"/>
          <w:sz w:val="28"/>
          <w:szCs w:val="28"/>
        </w:rPr>
        <w:t>SGLT2 Inhibitors are associated with an increased risk of ketoacidosis, but the overall risk is so low that proceeding with surgery may be more appropriate than delaying care.</w:t>
      </w:r>
    </w:p>
    <w:p w14:paraId="7FCD574A" w14:textId="6CF3AF24" w:rsidR="008A7C90" w:rsidRDefault="007358FD" w:rsidP="00D24534">
      <w:pPr>
        <w:spacing w:after="0"/>
      </w:pPr>
      <w:r>
        <w:t>Brendan Seto, MD, Michael Hartman, MS, Julie Schmittdiel, PhD, Bradley Cohn, MD</w:t>
      </w:r>
    </w:p>
    <w:tbl>
      <w:tblPr>
        <w:tblStyle w:val="TableGrid"/>
        <w:tblpPr w:leftFromText="180" w:rightFromText="180" w:vertAnchor="page" w:horzAnchor="margin" w:tblpY="2581"/>
        <w:tblW w:w="10705" w:type="dxa"/>
        <w:tblLook w:val="04A0" w:firstRow="1" w:lastRow="0" w:firstColumn="1" w:lastColumn="0" w:noHBand="0" w:noVBand="1"/>
      </w:tblPr>
      <w:tblGrid>
        <w:gridCol w:w="1791"/>
        <w:gridCol w:w="8999"/>
      </w:tblGrid>
      <w:tr w:rsidR="0048655A" w:rsidRPr="008A7C90" w14:paraId="307289BF" w14:textId="77777777" w:rsidTr="007358FD">
        <w:trPr>
          <w:trHeight w:val="816"/>
        </w:trPr>
        <w:tc>
          <w:tcPr>
            <w:tcW w:w="2198" w:type="dxa"/>
          </w:tcPr>
          <w:p w14:paraId="2C7E2D09" w14:textId="77777777" w:rsidR="0048655A" w:rsidRPr="008A7C90" w:rsidRDefault="0048655A" w:rsidP="0048655A">
            <w:pPr>
              <w:spacing w:line="259" w:lineRule="auto"/>
            </w:pPr>
            <w:bookmarkStart w:id="0" w:name="_Hlk54105970"/>
            <w:r w:rsidRPr="008A7C90">
              <w:t>Challenge</w:t>
            </w:r>
          </w:p>
        </w:tc>
        <w:tc>
          <w:tcPr>
            <w:tcW w:w="8507" w:type="dxa"/>
          </w:tcPr>
          <w:p w14:paraId="7F9273D4" w14:textId="6E9E5116" w:rsidR="0048655A" w:rsidRPr="007358FD" w:rsidRDefault="007358FD" w:rsidP="0048655A">
            <w:pPr>
              <w:spacing w:line="259" w:lineRule="auto"/>
            </w:pPr>
            <w:r w:rsidRPr="008D60F5">
              <w:rPr>
                <w:b/>
                <w:bCs/>
              </w:rPr>
              <w:t>SGLT2i medications are widely prescribed for the management of diabetes, kidney disease and heart failure. The FDA cautions clinicians that exposure to these medications prior to surgery can increase the risk of ketoacidosis. Withholding these agents for 3+ days prior to surgery is logistically complex and not always possible.</w:t>
            </w:r>
            <w:r w:rsidRPr="007358FD">
              <w:t xml:space="preserve"> If not withheld, </w:t>
            </w:r>
            <w:r>
              <w:t>patients and their care teams</w:t>
            </w:r>
            <w:r w:rsidRPr="007358FD">
              <w:t xml:space="preserve"> are often faced with the difficult decision of </w:t>
            </w:r>
            <w:r>
              <w:t>accepting</w:t>
            </w:r>
            <w:r w:rsidRPr="007358FD">
              <w:t xml:space="preserve"> </w:t>
            </w:r>
            <w:r>
              <w:t>higher risk</w:t>
            </w:r>
            <w:r w:rsidRPr="007358FD">
              <w:t xml:space="preserve"> surgery</w:t>
            </w:r>
            <w:r>
              <w:t xml:space="preserve"> </w:t>
            </w:r>
            <w:r w:rsidRPr="007358FD">
              <w:t xml:space="preserve">or delaying care.  </w:t>
            </w:r>
          </w:p>
        </w:tc>
      </w:tr>
      <w:tr w:rsidR="0048655A" w:rsidRPr="008A7C90" w14:paraId="67D435C8" w14:textId="77777777" w:rsidTr="007358FD">
        <w:trPr>
          <w:trHeight w:val="1091"/>
        </w:trPr>
        <w:tc>
          <w:tcPr>
            <w:tcW w:w="2198" w:type="dxa"/>
          </w:tcPr>
          <w:p w14:paraId="351B366F" w14:textId="77777777" w:rsidR="0048655A" w:rsidRPr="008A7C90" w:rsidRDefault="0048655A" w:rsidP="0048655A">
            <w:pPr>
              <w:spacing w:line="259" w:lineRule="auto"/>
            </w:pPr>
            <w:r w:rsidRPr="008A7C90">
              <w:t>Existing Evidence</w:t>
            </w:r>
          </w:p>
        </w:tc>
        <w:tc>
          <w:tcPr>
            <w:tcW w:w="8507" w:type="dxa"/>
          </w:tcPr>
          <w:p w14:paraId="70041630" w14:textId="116B221B" w:rsidR="0048655A" w:rsidRPr="008D60F5" w:rsidRDefault="007358FD" w:rsidP="0048655A">
            <w:pPr>
              <w:spacing w:line="259" w:lineRule="auto"/>
              <w:rPr>
                <w:rFonts w:cstheme="minorHAnsi"/>
                <w:b/>
                <w:bCs/>
              </w:rPr>
            </w:pPr>
            <w:r w:rsidRPr="008D60F5">
              <w:rPr>
                <w:rFonts w:cstheme="minorHAnsi"/>
                <w:b/>
                <w:bCs/>
              </w:rPr>
              <w:t>The incidence of perioperative ketoacidosis is not well defined, hence the relative importance of exposure to SGLT2i is unknown.</w:t>
            </w:r>
          </w:p>
        </w:tc>
      </w:tr>
      <w:tr w:rsidR="0048655A" w:rsidRPr="008A7C90" w14:paraId="136E6453" w14:textId="77777777" w:rsidTr="007358FD">
        <w:trPr>
          <w:trHeight w:val="262"/>
        </w:trPr>
        <w:tc>
          <w:tcPr>
            <w:tcW w:w="2198" w:type="dxa"/>
          </w:tcPr>
          <w:p w14:paraId="53202DB8" w14:textId="77777777" w:rsidR="0048655A" w:rsidRPr="008A7C90" w:rsidRDefault="0048655A" w:rsidP="0048655A">
            <w:pPr>
              <w:spacing w:line="259" w:lineRule="auto"/>
            </w:pPr>
            <w:r w:rsidRPr="008A7C90">
              <w:t>Target Population</w:t>
            </w:r>
          </w:p>
        </w:tc>
        <w:tc>
          <w:tcPr>
            <w:tcW w:w="8507" w:type="dxa"/>
          </w:tcPr>
          <w:p w14:paraId="1486D38C" w14:textId="08F0F68D" w:rsidR="0048655A" w:rsidRPr="008A7C90" w:rsidRDefault="007358FD" w:rsidP="0048655A">
            <w:pPr>
              <w:spacing w:line="259" w:lineRule="auto"/>
            </w:pPr>
            <w:r>
              <w:t>Adult patients scheduled for surgery or medical procedural interventions.</w:t>
            </w:r>
          </w:p>
        </w:tc>
      </w:tr>
      <w:tr w:rsidR="0048655A" w:rsidRPr="008A7C90" w14:paraId="5B80BED5" w14:textId="77777777" w:rsidTr="007358FD">
        <w:trPr>
          <w:trHeight w:val="276"/>
        </w:trPr>
        <w:tc>
          <w:tcPr>
            <w:tcW w:w="2198" w:type="dxa"/>
          </w:tcPr>
          <w:p w14:paraId="0D0B7C0D" w14:textId="77777777" w:rsidR="0048655A" w:rsidRPr="008A7C90" w:rsidRDefault="0048655A" w:rsidP="0048655A">
            <w:pPr>
              <w:spacing w:line="259" w:lineRule="auto"/>
            </w:pPr>
            <w:r w:rsidRPr="008A7C90">
              <w:t>Intervention or Exposure</w:t>
            </w:r>
          </w:p>
        </w:tc>
        <w:tc>
          <w:tcPr>
            <w:tcW w:w="8507" w:type="dxa"/>
          </w:tcPr>
          <w:p w14:paraId="5FB82633" w14:textId="2EFFD800" w:rsidR="007358FD" w:rsidRDefault="007358FD" w:rsidP="0048655A">
            <w:pPr>
              <w:spacing w:line="259" w:lineRule="auto"/>
            </w:pPr>
            <w:r>
              <w:t>1. SGLT2i prescriptions filled prior to surgery</w:t>
            </w:r>
          </w:p>
          <w:p w14:paraId="0CA2C589" w14:textId="01DEF8E7" w:rsidR="0048655A" w:rsidRPr="008A7C90" w:rsidRDefault="007358FD" w:rsidP="0048655A">
            <w:pPr>
              <w:spacing w:line="259" w:lineRule="auto"/>
            </w:pPr>
            <w:r>
              <w:t>2. Continuation of these medications prior to surgery</w:t>
            </w:r>
          </w:p>
        </w:tc>
      </w:tr>
      <w:tr w:rsidR="0048655A" w:rsidRPr="008A7C90" w14:paraId="13978FD3" w14:textId="77777777" w:rsidTr="007358FD">
        <w:trPr>
          <w:trHeight w:val="2282"/>
        </w:trPr>
        <w:tc>
          <w:tcPr>
            <w:tcW w:w="2198" w:type="dxa"/>
          </w:tcPr>
          <w:p w14:paraId="7525D5B4" w14:textId="77777777" w:rsidR="0048655A" w:rsidRPr="00EF635D" w:rsidRDefault="0048655A" w:rsidP="0048655A">
            <w:pPr>
              <w:spacing w:line="259" w:lineRule="auto"/>
              <w:rPr>
                <w:b/>
                <w:bCs/>
              </w:rPr>
            </w:pPr>
            <w:r w:rsidRPr="00EF635D">
              <w:rPr>
                <w:b/>
                <w:bCs/>
              </w:rPr>
              <w:t>Outcomes/Key Findings</w:t>
            </w:r>
          </w:p>
        </w:tc>
        <w:tc>
          <w:tcPr>
            <w:tcW w:w="8507" w:type="dxa"/>
          </w:tcPr>
          <w:p w14:paraId="3CD35CB0" w14:textId="0C16CBEE" w:rsidR="0048655A" w:rsidRPr="007358FD" w:rsidRDefault="007358FD" w:rsidP="0031051B">
            <w:pPr>
              <w:spacing w:line="259" w:lineRule="auto"/>
              <w:rPr>
                <w:rFonts w:cstheme="minorHAnsi"/>
              </w:rPr>
            </w:pPr>
            <w:r w:rsidRPr="00A43F15">
              <w:rPr>
                <w:rFonts w:eastAsia="Helvetica Neue" w:cstheme="minorHAnsi"/>
                <w:color w:val="000000" w:themeColor="text1"/>
              </w:rPr>
              <w:t>The baseline risk of postoperative ketoacidosis after scheduled surgery is low (0.09%).</w:t>
            </w:r>
            <w:r w:rsidRPr="00AD188A">
              <w:rPr>
                <w:rFonts w:eastAsia="Helvetica Neue" w:cstheme="minorHAnsi"/>
                <w:b/>
                <w:bCs/>
                <w:color w:val="000000" w:themeColor="text1"/>
              </w:rPr>
              <w:t xml:space="preserve"> Patients with ketoacidosis are more likely to have an active SGLT2i prescription (adjusted OR 2.50</w:t>
            </w:r>
            <w:r w:rsidRPr="00AD188A">
              <w:rPr>
                <w:rFonts w:eastAsia="Times New Roman" w:cstheme="minorHAnsi"/>
                <w:b/>
                <w:bCs/>
              </w:rPr>
              <w:t>, 95% CI: 1.98-3.16</w:t>
            </w:r>
            <w:r w:rsidRPr="00AD188A">
              <w:rPr>
                <w:rFonts w:eastAsia="Helvetica Neue" w:cstheme="minorHAnsi"/>
                <w:b/>
                <w:bCs/>
                <w:color w:val="000000" w:themeColor="text1"/>
              </w:rPr>
              <w:t>). Patients with ketoacidosis are more likely to have continued SGLT2i preoperatively (</w:t>
            </w:r>
            <w:r w:rsidRPr="00AD188A">
              <w:rPr>
                <w:rFonts w:eastAsia="Times New Roman" w:cstheme="minorHAnsi"/>
                <w:b/>
                <w:bCs/>
              </w:rPr>
              <w:t>OR 3.06, 95% CI: 1.69-5.57).</w:t>
            </w:r>
            <w:r>
              <w:rPr>
                <w:rFonts w:eastAsia="Times New Roman" w:cstheme="minorHAnsi"/>
              </w:rPr>
              <w:t xml:space="preserve"> There was a 65% greater day-of-surgery cancellation rate among SGLT2i users. </w:t>
            </w:r>
          </w:p>
        </w:tc>
      </w:tr>
      <w:tr w:rsidR="0048655A" w:rsidRPr="008A7C90" w14:paraId="62542513" w14:textId="77777777" w:rsidTr="007358FD">
        <w:trPr>
          <w:trHeight w:val="816"/>
        </w:trPr>
        <w:tc>
          <w:tcPr>
            <w:tcW w:w="2198" w:type="dxa"/>
          </w:tcPr>
          <w:p w14:paraId="38755ADC" w14:textId="77777777" w:rsidR="0048655A" w:rsidRPr="00EF635D" w:rsidRDefault="0048655A" w:rsidP="0048655A">
            <w:pPr>
              <w:spacing w:line="259" w:lineRule="auto"/>
              <w:rPr>
                <w:b/>
                <w:bCs/>
              </w:rPr>
            </w:pPr>
            <w:r w:rsidRPr="00EF635D">
              <w:rPr>
                <w:b/>
                <w:bCs/>
              </w:rPr>
              <w:t>Resulting Action/Change</w:t>
            </w:r>
          </w:p>
        </w:tc>
        <w:tc>
          <w:tcPr>
            <w:tcW w:w="8507" w:type="dxa"/>
          </w:tcPr>
          <w:p w14:paraId="092B6F29" w14:textId="293E8426" w:rsidR="0048655A" w:rsidRPr="00AD188A" w:rsidRDefault="007358FD" w:rsidP="0048655A">
            <w:pPr>
              <w:spacing w:line="259" w:lineRule="auto"/>
              <w:rPr>
                <w:rFonts w:cstheme="minorHAnsi"/>
                <w:b/>
                <w:bCs/>
              </w:rPr>
            </w:pPr>
            <w:r w:rsidRPr="00AD188A">
              <w:rPr>
                <w:rFonts w:eastAsia="Helvetica Neue" w:cstheme="minorHAnsi"/>
                <w:b/>
                <w:bCs/>
                <w:color w:val="000000" w:themeColor="text1"/>
              </w:rPr>
              <w:t>This evidence supports the recommendation to withhold SGLT2i preoperatively, however, given the rarity of this event, the absolute risk of ketoacidosis may be less than the risk of deferring surgery when this guidance is not followed.</w:t>
            </w:r>
            <w:r w:rsidRPr="00AD188A">
              <w:rPr>
                <w:rFonts w:cstheme="minorHAnsi"/>
                <w:b/>
                <w:bCs/>
              </w:rPr>
              <w:t xml:space="preserve"> </w:t>
            </w:r>
          </w:p>
        </w:tc>
      </w:tr>
      <w:tr w:rsidR="00CB0455" w:rsidRPr="008A7C90" w14:paraId="57800790" w14:textId="77777777" w:rsidTr="007358FD">
        <w:trPr>
          <w:trHeight w:val="816"/>
        </w:trPr>
        <w:tc>
          <w:tcPr>
            <w:tcW w:w="2198" w:type="dxa"/>
          </w:tcPr>
          <w:p w14:paraId="6C4E04AC" w14:textId="161310DB" w:rsidR="00CB0455" w:rsidRPr="00EB0401" w:rsidRDefault="00CB0455" w:rsidP="0048655A">
            <w:r w:rsidRPr="00EB0401">
              <w:t>Additional Recommendations</w:t>
            </w:r>
          </w:p>
        </w:tc>
        <w:tc>
          <w:tcPr>
            <w:tcW w:w="8507" w:type="dxa"/>
          </w:tcPr>
          <w:p w14:paraId="08163871" w14:textId="462095C6" w:rsidR="00CB0455" w:rsidRPr="007358FD" w:rsidRDefault="007358FD" w:rsidP="0048655A">
            <w:pPr>
              <w:rPr>
                <w:rFonts w:cstheme="minorHAnsi"/>
              </w:rPr>
            </w:pPr>
            <w:r w:rsidRPr="007358FD">
              <w:rPr>
                <w:rFonts w:cstheme="minorHAnsi"/>
              </w:rPr>
              <w:t>These data should allow clinicians personalize risk assessments among patients exposed to SGLT2i prior to surgery.</w:t>
            </w:r>
          </w:p>
        </w:tc>
      </w:tr>
      <w:tr w:rsidR="0048655A" w:rsidRPr="008A7C90" w14:paraId="21F6FB6D" w14:textId="77777777" w:rsidTr="007358FD">
        <w:trPr>
          <w:trHeight w:val="552"/>
        </w:trPr>
        <w:tc>
          <w:tcPr>
            <w:tcW w:w="2198" w:type="dxa"/>
          </w:tcPr>
          <w:p w14:paraId="511F380C" w14:textId="77777777" w:rsidR="0048655A" w:rsidRPr="008A7C90" w:rsidRDefault="0048655A" w:rsidP="0048655A">
            <w:pPr>
              <w:spacing w:line="259" w:lineRule="auto"/>
            </w:pPr>
            <w:r w:rsidRPr="008A7C90">
              <w:t>Implementation Tools</w:t>
            </w:r>
            <w:r w:rsidRPr="008A7C90">
              <w:tab/>
            </w:r>
          </w:p>
        </w:tc>
        <w:tc>
          <w:tcPr>
            <w:tcW w:w="8507" w:type="dxa"/>
          </w:tcPr>
          <w:p w14:paraId="35B5FEA6" w14:textId="0CB94A1D" w:rsidR="0048655A" w:rsidRPr="008A7C90" w:rsidRDefault="007358FD" w:rsidP="0048655A">
            <w:pPr>
              <w:spacing w:line="259" w:lineRule="auto"/>
            </w:pPr>
            <w:r>
              <w:t xml:space="preserve">Data on overall rate of postoperative ketoacidosis by case service (surgical specialty) </w:t>
            </w:r>
            <w:r w:rsidR="00691C5E">
              <w:t xml:space="preserve">are expected to influence the TPMG </w:t>
            </w:r>
            <w:hyperlink r:id="rId7" w:history="1">
              <w:r w:rsidR="00691C5E" w:rsidRPr="00691C5E">
                <w:rPr>
                  <w:rStyle w:val="Hyperlink"/>
                </w:rPr>
                <w:t>Perioperative Diabetes Mellitus and Glucose Management</w:t>
              </w:r>
            </w:hyperlink>
            <w:r w:rsidR="00691C5E">
              <w:t xml:space="preserve"> and </w:t>
            </w:r>
            <w:hyperlink r:id="rId8" w:history="1">
              <w:r w:rsidR="00691C5E" w:rsidRPr="00691C5E">
                <w:rPr>
                  <w:rStyle w:val="Hyperlink"/>
                </w:rPr>
                <w:t>Perioperative Medication Management Guidelines</w:t>
              </w:r>
            </w:hyperlink>
            <w:r w:rsidR="00691C5E">
              <w:t xml:space="preserve"> .</w:t>
            </w:r>
          </w:p>
        </w:tc>
      </w:tr>
      <w:tr w:rsidR="007358FD" w:rsidRPr="008A7C90" w14:paraId="02D4678D" w14:textId="77777777" w:rsidTr="007358FD">
        <w:trPr>
          <w:trHeight w:val="552"/>
        </w:trPr>
        <w:tc>
          <w:tcPr>
            <w:tcW w:w="2198" w:type="dxa"/>
          </w:tcPr>
          <w:p w14:paraId="1B184543" w14:textId="77777777" w:rsidR="007358FD" w:rsidRPr="008A7C90" w:rsidRDefault="007358FD" w:rsidP="007358FD">
            <w:pPr>
              <w:spacing w:line="259" w:lineRule="auto"/>
            </w:pPr>
            <w:r w:rsidRPr="008A7C90">
              <w:t>Implementation Measurement</w:t>
            </w:r>
          </w:p>
        </w:tc>
        <w:tc>
          <w:tcPr>
            <w:tcW w:w="8507" w:type="dxa"/>
          </w:tcPr>
          <w:p w14:paraId="29FABD56" w14:textId="4D575E93" w:rsidR="007358FD" w:rsidRPr="00691C5E" w:rsidRDefault="00691C5E" w:rsidP="007358FD">
            <w:pPr>
              <w:pStyle w:val="paragraph"/>
              <w:spacing w:before="0" w:beforeAutospacing="0" w:after="0" w:afterAutospacing="0"/>
              <w:textAlignment w:val="baseline"/>
              <w:rPr>
                <w:rFonts w:asciiTheme="minorHAnsi" w:hAnsiTheme="minorHAnsi" w:cstheme="minorHAnsi"/>
                <w:color w:val="000000" w:themeColor="text1"/>
                <w:sz w:val="22"/>
                <w:szCs w:val="22"/>
              </w:rPr>
            </w:pPr>
            <w:r w:rsidRPr="00691C5E">
              <w:rPr>
                <w:rFonts w:asciiTheme="minorHAnsi" w:hAnsiTheme="minorHAnsi" w:cstheme="minorHAnsi"/>
                <w:sz w:val="22"/>
                <w:szCs w:val="22"/>
              </w:rPr>
              <w:t>We anticipate updated clinical guidance for the management of patients prescribed SGLT2i to have a measurable impact on day</w:t>
            </w:r>
            <w:r>
              <w:rPr>
                <w:rFonts w:asciiTheme="minorHAnsi" w:hAnsiTheme="minorHAnsi" w:cstheme="minorHAnsi"/>
                <w:sz w:val="22"/>
                <w:szCs w:val="22"/>
              </w:rPr>
              <w:t>-</w:t>
            </w:r>
            <w:r w:rsidRPr="00691C5E">
              <w:rPr>
                <w:rFonts w:asciiTheme="minorHAnsi" w:hAnsiTheme="minorHAnsi" w:cstheme="minorHAnsi"/>
                <w:sz w:val="22"/>
                <w:szCs w:val="22"/>
              </w:rPr>
              <w:t>of</w:t>
            </w:r>
            <w:r>
              <w:rPr>
                <w:rFonts w:asciiTheme="minorHAnsi" w:hAnsiTheme="minorHAnsi" w:cstheme="minorHAnsi"/>
                <w:sz w:val="22"/>
                <w:szCs w:val="22"/>
              </w:rPr>
              <w:t>-</w:t>
            </w:r>
            <w:r w:rsidRPr="00691C5E">
              <w:rPr>
                <w:rFonts w:asciiTheme="minorHAnsi" w:hAnsiTheme="minorHAnsi" w:cstheme="minorHAnsi"/>
                <w:sz w:val="22"/>
                <w:szCs w:val="22"/>
              </w:rPr>
              <w:t>surgery cancellation</w:t>
            </w:r>
            <w:r>
              <w:rPr>
                <w:rFonts w:asciiTheme="minorHAnsi" w:hAnsiTheme="minorHAnsi" w:cstheme="minorHAnsi"/>
                <w:sz w:val="22"/>
                <w:szCs w:val="22"/>
              </w:rPr>
              <w:t xml:space="preserve"> rate</w:t>
            </w:r>
            <w:r w:rsidRPr="00691C5E">
              <w:rPr>
                <w:rFonts w:asciiTheme="minorHAnsi" w:hAnsiTheme="minorHAnsi" w:cstheme="minorHAnsi"/>
                <w:sz w:val="22"/>
                <w:szCs w:val="22"/>
              </w:rPr>
              <w:t>s in this cohort.</w:t>
            </w:r>
          </w:p>
          <w:p w14:paraId="0D25EBD1" w14:textId="133E49C3" w:rsidR="007358FD" w:rsidRPr="008A7C90" w:rsidRDefault="007358FD" w:rsidP="007358FD">
            <w:pPr>
              <w:spacing w:line="259" w:lineRule="auto"/>
            </w:pPr>
            <w:r w:rsidRPr="00BC4B6F">
              <w:rPr>
                <w:rStyle w:val="wacimagecontainer"/>
                <w:rFonts w:eastAsiaTheme="majorEastAsia"/>
                <w:noProof/>
                <w:sz w:val="18"/>
                <w:szCs w:val="18"/>
              </w:rPr>
              <w:lastRenderedPageBreak/>
              <w:drawing>
                <wp:inline distT="0" distB="0" distL="0" distR="0" wp14:anchorId="57A0762F" wp14:editId="41E2D9B1">
                  <wp:extent cx="5943600" cy="3523615"/>
                  <wp:effectExtent l="0" t="0" r="0" b="0"/>
                  <wp:docPr id="1147403017" name="Picture 2" descr="A graph of ketoacidosis and ketoacido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03017" name="Picture 2" descr="A graph of ketoacidosis and ketoacidosi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23615"/>
                          </a:xfrm>
                          <a:prstGeom prst="rect">
                            <a:avLst/>
                          </a:prstGeom>
                          <a:noFill/>
                          <a:ln>
                            <a:noFill/>
                          </a:ln>
                        </pic:spPr>
                      </pic:pic>
                    </a:graphicData>
                  </a:graphic>
                </wp:inline>
              </w:drawing>
            </w:r>
          </w:p>
        </w:tc>
      </w:tr>
      <w:tr w:rsidR="007358FD" w:rsidRPr="008A7C90" w14:paraId="66558595" w14:textId="77777777" w:rsidTr="007358FD">
        <w:trPr>
          <w:trHeight w:val="538"/>
        </w:trPr>
        <w:tc>
          <w:tcPr>
            <w:tcW w:w="2198" w:type="dxa"/>
          </w:tcPr>
          <w:p w14:paraId="29954FA9" w14:textId="77777777" w:rsidR="007358FD" w:rsidRPr="008A7C90" w:rsidRDefault="007358FD" w:rsidP="007358FD">
            <w:pPr>
              <w:spacing w:line="259" w:lineRule="auto"/>
            </w:pPr>
            <w:r w:rsidRPr="008A7C90">
              <w:lastRenderedPageBreak/>
              <w:t>Reference</w:t>
            </w:r>
          </w:p>
        </w:tc>
        <w:tc>
          <w:tcPr>
            <w:tcW w:w="8507" w:type="dxa"/>
          </w:tcPr>
          <w:p w14:paraId="722DE921" w14:textId="768C06E5" w:rsidR="007358FD" w:rsidRPr="008A7C90" w:rsidRDefault="007358FD" w:rsidP="007358FD">
            <w:pPr>
              <w:spacing w:line="259" w:lineRule="auto"/>
            </w:pPr>
          </w:p>
        </w:tc>
      </w:tr>
      <w:bookmarkEnd w:id="0"/>
    </w:tbl>
    <w:p w14:paraId="62800767" w14:textId="77777777" w:rsidR="00FE6194" w:rsidRDefault="00FE6194" w:rsidP="00C73A94">
      <w:pPr>
        <w:spacing w:after="0"/>
      </w:pPr>
    </w:p>
    <w:sectPr w:rsidR="00FE6194"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55E15"/>
    <w:rsid w:val="000811DB"/>
    <w:rsid w:val="000F1F16"/>
    <w:rsid w:val="00117444"/>
    <w:rsid w:val="00123404"/>
    <w:rsid w:val="001D52BB"/>
    <w:rsid w:val="001E348B"/>
    <w:rsid w:val="00246A4F"/>
    <w:rsid w:val="002A1A00"/>
    <w:rsid w:val="0031051B"/>
    <w:rsid w:val="003D755D"/>
    <w:rsid w:val="003E27D1"/>
    <w:rsid w:val="003E34C5"/>
    <w:rsid w:val="004111F1"/>
    <w:rsid w:val="00481FDC"/>
    <w:rsid w:val="0048655A"/>
    <w:rsid w:val="00514319"/>
    <w:rsid w:val="00580CD7"/>
    <w:rsid w:val="005A610F"/>
    <w:rsid w:val="00603A6B"/>
    <w:rsid w:val="006455CE"/>
    <w:rsid w:val="00664FFB"/>
    <w:rsid w:val="00671AA8"/>
    <w:rsid w:val="00691C5E"/>
    <w:rsid w:val="006D32D2"/>
    <w:rsid w:val="0072563B"/>
    <w:rsid w:val="007358FD"/>
    <w:rsid w:val="00777238"/>
    <w:rsid w:val="008026F1"/>
    <w:rsid w:val="008131C8"/>
    <w:rsid w:val="008A7C90"/>
    <w:rsid w:val="008D60F5"/>
    <w:rsid w:val="009001F2"/>
    <w:rsid w:val="00933309"/>
    <w:rsid w:val="00982D86"/>
    <w:rsid w:val="009E5EB1"/>
    <w:rsid w:val="00A16BB1"/>
    <w:rsid w:val="00A43F15"/>
    <w:rsid w:val="00A44E70"/>
    <w:rsid w:val="00AD188A"/>
    <w:rsid w:val="00AF745E"/>
    <w:rsid w:val="00B523B0"/>
    <w:rsid w:val="00C3487D"/>
    <w:rsid w:val="00C4025A"/>
    <w:rsid w:val="00C73A94"/>
    <w:rsid w:val="00CB0455"/>
    <w:rsid w:val="00CF4301"/>
    <w:rsid w:val="00D003F1"/>
    <w:rsid w:val="00D24534"/>
    <w:rsid w:val="00D3727A"/>
    <w:rsid w:val="00D43C9C"/>
    <w:rsid w:val="00E665FD"/>
    <w:rsid w:val="00EB0401"/>
    <w:rsid w:val="00EC716B"/>
    <w:rsid w:val="00EF635D"/>
    <w:rsid w:val="00EF665D"/>
    <w:rsid w:val="00FE6194"/>
    <w:rsid w:val="0B4BE6C0"/>
    <w:rsid w:val="1A557A28"/>
    <w:rsid w:val="30BD5087"/>
    <w:rsid w:val="4E55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character" w:styleId="CommentReference">
    <w:name w:val="annotation reference"/>
    <w:basedOn w:val="DefaultParagraphFont"/>
    <w:uiPriority w:val="99"/>
    <w:semiHidden/>
    <w:unhideWhenUsed/>
    <w:rsid w:val="00D3727A"/>
    <w:rPr>
      <w:sz w:val="16"/>
      <w:szCs w:val="16"/>
    </w:rPr>
  </w:style>
  <w:style w:type="paragraph" w:styleId="CommentText">
    <w:name w:val="annotation text"/>
    <w:basedOn w:val="Normal"/>
    <w:link w:val="CommentTextChar"/>
    <w:uiPriority w:val="99"/>
    <w:unhideWhenUsed/>
    <w:rsid w:val="00D3727A"/>
    <w:pPr>
      <w:spacing w:line="240" w:lineRule="auto"/>
    </w:pPr>
    <w:rPr>
      <w:sz w:val="20"/>
      <w:szCs w:val="20"/>
    </w:rPr>
  </w:style>
  <w:style w:type="character" w:customStyle="1" w:styleId="CommentTextChar">
    <w:name w:val="Comment Text Char"/>
    <w:basedOn w:val="DefaultParagraphFont"/>
    <w:link w:val="CommentText"/>
    <w:uiPriority w:val="99"/>
    <w:rsid w:val="00D3727A"/>
    <w:rPr>
      <w:sz w:val="20"/>
      <w:szCs w:val="20"/>
    </w:rPr>
  </w:style>
  <w:style w:type="paragraph" w:styleId="CommentSubject">
    <w:name w:val="annotation subject"/>
    <w:basedOn w:val="CommentText"/>
    <w:next w:val="CommentText"/>
    <w:link w:val="CommentSubjectChar"/>
    <w:uiPriority w:val="99"/>
    <w:semiHidden/>
    <w:unhideWhenUsed/>
    <w:rsid w:val="00D3727A"/>
    <w:rPr>
      <w:b/>
      <w:bCs/>
    </w:rPr>
  </w:style>
  <w:style w:type="character" w:customStyle="1" w:styleId="CommentSubjectChar">
    <w:name w:val="Comment Subject Char"/>
    <w:basedOn w:val="CommentTextChar"/>
    <w:link w:val="CommentSubject"/>
    <w:uiPriority w:val="99"/>
    <w:semiHidden/>
    <w:rsid w:val="00D3727A"/>
    <w:rPr>
      <w:b/>
      <w:bCs/>
      <w:sz w:val="20"/>
      <w:szCs w:val="20"/>
    </w:rPr>
  </w:style>
  <w:style w:type="paragraph" w:customStyle="1" w:styleId="paragraph">
    <w:name w:val="paragraph"/>
    <w:basedOn w:val="Normal"/>
    <w:rsid w:val="00735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58FD"/>
  </w:style>
  <w:style w:type="character" w:customStyle="1" w:styleId="wacimagecontainer">
    <w:name w:val="wacimagecontainer"/>
    <w:basedOn w:val="DefaultParagraphFont"/>
    <w:rsid w:val="00735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kp.org/ncal/clib/guidelines/pom/pom-medications.html?q=Anesthesiology&amp;context=clinical-decision-support" TargetMode="External"/><Relationship Id="rId3" Type="http://schemas.openxmlformats.org/officeDocument/2006/relationships/customXml" Target="../customXml/item3.xml"/><Relationship Id="rId7" Type="http://schemas.openxmlformats.org/officeDocument/2006/relationships/hyperlink" Target="https://cl.kp.org/ncal/clib/guidelines/pom/pom-diabetes-glucose-manage.html?q=Anesthesiology&amp;context=clinical-decision-sup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212CF887CC049AE0A16A900E750E9" ma:contentTypeVersion="17" ma:contentTypeDescription="Create a new document." ma:contentTypeScope="" ma:versionID="e0c3ffeacc1da5b306ada490dcf4cfad">
  <xsd:schema xmlns:xsd="http://www.w3.org/2001/XMLSchema" xmlns:xs="http://www.w3.org/2001/XMLSchema" xmlns:p="http://schemas.microsoft.com/office/2006/metadata/properties" xmlns:ns2="04c69e7e-30dd-4fc4-b8bc-afeef48eb057" xmlns:ns3="537647ec-f617-4999-8032-1f453e4c2fb5" targetNamespace="http://schemas.microsoft.com/office/2006/metadata/properties" ma:root="true" ma:fieldsID="ef526c4e8ee658b2fd6a0832de53a5ed" ns2:_="" ns3:_="">
    <xsd:import namespace="04c69e7e-30dd-4fc4-b8bc-afeef48eb057"/>
    <xsd:import namespace="537647ec-f617-4999-8032-1f453e4c2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69e7e-30dd-4fc4-b8bc-afeef48eb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7647ec-f617-4999-8032-1f453e4c2f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ff0bba-50f5-4c0b-b1c3-5fd5d8475422}" ma:internalName="TaxCatchAll" ma:showField="CatchAllData" ma:web="537647ec-f617-4999-8032-1f453e4c2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7647ec-f617-4999-8032-1f453e4c2fb5" xsi:nil="true"/>
    <lcf76f155ced4ddcb4097134ff3c332f xmlns="04c69e7e-30dd-4fc4-b8bc-afeef48eb0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6D5E5-4615-4CE2-92DC-5A36A0B0D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69e7e-30dd-4fc4-b8bc-afeef48eb057"/>
    <ds:schemaRef ds:uri="537647ec-f617-4999-8032-1f453e4c2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 ds:uri="537647ec-f617-4999-8032-1f453e4c2fb5"/>
    <ds:schemaRef ds:uri="04c69e7e-30dd-4fc4-b8bc-afeef48eb057"/>
  </ds:schemaRefs>
</ds:datastoreItem>
</file>

<file path=customXml/itemProps3.xml><?xml version="1.0" encoding="utf-8"?>
<ds:datastoreItem xmlns:ds="http://schemas.openxmlformats.org/officeDocument/2006/customXml" ds:itemID="{422B8E45-4B7B-44CA-883D-6EABF409C33D}">
  <ds:schemaRefs>
    <ds:schemaRef ds:uri="http://schemas.microsoft.com/sharepoint/v3/contenttype/forms"/>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Cimone E Durojaiye</cp:lastModifiedBy>
  <cp:revision>6</cp:revision>
  <dcterms:created xsi:type="dcterms:W3CDTF">2025-10-31T20:54:00Z</dcterms:created>
  <dcterms:modified xsi:type="dcterms:W3CDTF">2025-10-31T21:40:00Z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0x0101005E2212CF887CC049AE0A16A900E750E9</vt:lpwstr>
  </property>
  <property fmtid="{D5CDD505-2E9C-101B-9397-08002B2CF9AE}" pid="3" name="MediaServiceImageTags">
    <vt:lpwstr/>
  </property>
</Properties>
</file>