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12DC" w14:textId="1BF652FA" w:rsidR="1A557A28" w:rsidRDefault="00764F74" w:rsidP="4E551E08">
      <w:pPr>
        <w:rPr>
          <w:rFonts w:ascii="Calibri" w:eastAsia="Calibri" w:hAnsi="Calibri" w:cs="Calibri"/>
          <w:color w:val="4472C4" w:themeColor="accent1"/>
          <w:sz w:val="28"/>
          <w:szCs w:val="28"/>
        </w:rPr>
      </w:pPr>
      <w:r w:rsidRPr="3DEA859D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Slower sodium correction </w:t>
      </w:r>
      <w:r w:rsidR="15C3FCB9" w:rsidRPr="3DEA859D">
        <w:rPr>
          <w:rFonts w:ascii="Calibri" w:eastAsia="Calibri" w:hAnsi="Calibri" w:cs="Calibri"/>
          <w:color w:val="4472C4" w:themeColor="accent1"/>
          <w:sz w:val="28"/>
          <w:szCs w:val="28"/>
        </w:rPr>
        <w:t>is</w:t>
      </w:r>
      <w:r w:rsidRPr="3DEA859D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 associated </w:t>
      </w:r>
      <w:r w:rsidR="7304FD89" w:rsidRPr="3DEA859D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with </w:t>
      </w:r>
      <w:r w:rsidRPr="3DEA859D">
        <w:rPr>
          <w:rFonts w:ascii="Calibri" w:eastAsia="Calibri" w:hAnsi="Calibri" w:cs="Calibri"/>
          <w:color w:val="4472C4" w:themeColor="accent1"/>
          <w:sz w:val="28"/>
          <w:szCs w:val="28"/>
        </w:rPr>
        <w:t>worse outcomes among patients with severe hyponatremia.</w:t>
      </w:r>
    </w:p>
    <w:p w14:paraId="7FCD574A" w14:textId="180F9C05" w:rsidR="008A7C90" w:rsidRDefault="00764F74" w:rsidP="00D24534">
      <w:pPr>
        <w:spacing w:after="0"/>
      </w:pPr>
      <w:r>
        <w:t>Dustin Mark, MD; Mubarika Alavi, MS; Mary Reed, DrPH</w:t>
      </w:r>
    </w:p>
    <w:tbl>
      <w:tblPr>
        <w:tblStyle w:val="TableGrid"/>
        <w:tblpPr w:leftFromText="180" w:rightFromText="180" w:vertAnchor="page" w:horzAnchor="margin" w:tblpY="2581"/>
        <w:tblW w:w="10705" w:type="dxa"/>
        <w:tblLook w:val="04A0" w:firstRow="1" w:lastRow="0" w:firstColumn="1" w:lastColumn="0" w:noHBand="0" w:noVBand="1"/>
      </w:tblPr>
      <w:tblGrid>
        <w:gridCol w:w="1975"/>
        <w:gridCol w:w="8730"/>
      </w:tblGrid>
      <w:tr w:rsidR="00B22805" w:rsidRPr="008A7C90" w14:paraId="307289BF" w14:textId="77777777" w:rsidTr="00C73A94">
        <w:trPr>
          <w:trHeight w:val="816"/>
        </w:trPr>
        <w:tc>
          <w:tcPr>
            <w:tcW w:w="1975" w:type="dxa"/>
          </w:tcPr>
          <w:p w14:paraId="2C7E2D09" w14:textId="77777777" w:rsidR="0048655A" w:rsidRPr="008A7C90" w:rsidRDefault="0048655A" w:rsidP="0048655A">
            <w:pPr>
              <w:spacing w:line="259" w:lineRule="auto"/>
            </w:pPr>
            <w:bookmarkStart w:id="0" w:name="_Hlk54105970"/>
            <w:r w:rsidRPr="008A7C90">
              <w:t>Challenge</w:t>
            </w:r>
          </w:p>
        </w:tc>
        <w:tc>
          <w:tcPr>
            <w:tcW w:w="8730" w:type="dxa"/>
          </w:tcPr>
          <w:p w14:paraId="7F9273D4" w14:textId="6DE2F111" w:rsidR="0048655A" w:rsidRPr="00764F74" w:rsidRDefault="00764F74" w:rsidP="0048655A">
            <w:pPr>
              <w:spacing w:line="259" w:lineRule="auto"/>
              <w:rPr>
                <w:b/>
                <w:bCs/>
              </w:rPr>
            </w:pPr>
            <w:r w:rsidRPr="00764F74">
              <w:rPr>
                <w:b/>
                <w:bCs/>
              </w:rPr>
              <w:t>Examine the association between sodium correction rates and death or delayed neurologic events</w:t>
            </w:r>
            <w:r>
              <w:rPr>
                <w:b/>
                <w:bCs/>
              </w:rPr>
              <w:t xml:space="preserve"> among patients hospitalized with severe hyponatremia (</w:t>
            </w:r>
            <w:r>
              <w:rPr>
                <w:b/>
                <w:bCs/>
                <w:u w:val="single"/>
              </w:rPr>
              <w:t>&lt;</w:t>
            </w:r>
            <w:r>
              <w:rPr>
                <w:b/>
                <w:bCs/>
              </w:rPr>
              <w:t xml:space="preserve"> 120 </w:t>
            </w:r>
            <w:proofErr w:type="spellStart"/>
            <w:r>
              <w:rPr>
                <w:b/>
                <w:bCs/>
              </w:rPr>
              <w:t>meq</w:t>
            </w:r>
            <w:proofErr w:type="spellEnd"/>
            <w:r>
              <w:rPr>
                <w:b/>
                <w:bCs/>
              </w:rPr>
              <w:t xml:space="preserve">/L). </w:t>
            </w:r>
          </w:p>
        </w:tc>
      </w:tr>
      <w:tr w:rsidR="00B22805" w:rsidRPr="008A7C90" w14:paraId="67D435C8" w14:textId="77777777" w:rsidTr="00C73A94">
        <w:trPr>
          <w:trHeight w:val="1091"/>
        </w:trPr>
        <w:tc>
          <w:tcPr>
            <w:tcW w:w="1975" w:type="dxa"/>
          </w:tcPr>
          <w:p w14:paraId="351B366F" w14:textId="77777777" w:rsidR="0048655A" w:rsidRPr="008A7C90" w:rsidRDefault="0048655A" w:rsidP="0048655A">
            <w:pPr>
              <w:spacing w:line="259" w:lineRule="auto"/>
            </w:pPr>
            <w:r w:rsidRPr="008A7C90">
              <w:t>Existing Evidence</w:t>
            </w:r>
          </w:p>
        </w:tc>
        <w:tc>
          <w:tcPr>
            <w:tcW w:w="8730" w:type="dxa"/>
          </w:tcPr>
          <w:p w14:paraId="70041630" w14:textId="7A1401C1" w:rsidR="0048655A" w:rsidRPr="008A7C90" w:rsidRDefault="00764F74" w:rsidP="0048655A">
            <w:pPr>
              <w:spacing w:line="259" w:lineRule="auto"/>
            </w:pPr>
            <w:r w:rsidRPr="00764F74">
              <w:t xml:space="preserve">Clinical practice guidelines emphasize slow correction of severe hyponatremia to avoid osmotic demyelination syndrome (ODS, formerly termed central pontine myelinolysis), with targets as low as 4 to 6 </w:t>
            </w:r>
            <w:proofErr w:type="spellStart"/>
            <w:r w:rsidRPr="00764F74">
              <w:t>meq</w:t>
            </w:r>
            <w:proofErr w:type="spellEnd"/>
            <w:r w:rsidRPr="00764F74">
              <w:t>/L per 24 hours</w:t>
            </w:r>
            <w:r>
              <w:t>. However, a</w:t>
            </w:r>
            <w:r w:rsidRPr="00764F74">
              <w:t xml:space="preserve"> recent meta-analysis estimated </w:t>
            </w:r>
            <w:r w:rsidR="00DD659C">
              <w:t xml:space="preserve">that patients </w:t>
            </w:r>
            <w:r w:rsidRPr="00764F74">
              <w:t xml:space="preserve">with slower versus rapid (&gt; 8-10 </w:t>
            </w:r>
            <w:proofErr w:type="spellStart"/>
            <w:r w:rsidRPr="00764F74">
              <w:t>meq</w:t>
            </w:r>
            <w:proofErr w:type="spellEnd"/>
            <w:r w:rsidRPr="00764F74">
              <w:t>/L per 24 hours) sodium correction</w:t>
            </w:r>
            <w:r w:rsidR="00DD659C">
              <w:t xml:space="preserve"> had</w:t>
            </w:r>
            <w:r w:rsidR="00DD659C" w:rsidRPr="00764F74">
              <w:t xml:space="preserve"> an</w:t>
            </w:r>
            <w:r w:rsidR="00DD659C">
              <w:t xml:space="preserve"> absolute</w:t>
            </w:r>
            <w:r w:rsidR="00DD659C" w:rsidRPr="00764F74">
              <w:t xml:space="preserve"> increase in 30-day mortality</w:t>
            </w:r>
            <w:r w:rsidR="00DD659C">
              <w:t xml:space="preserve"> of</w:t>
            </w:r>
            <w:r w:rsidR="00DD659C" w:rsidRPr="00764F74">
              <w:t xml:space="preserve"> 6% to 13</w:t>
            </w:r>
            <w:r w:rsidR="00DD659C">
              <w:t>%</w:t>
            </w:r>
            <w:r w:rsidRPr="00764F74">
              <w:t>.</w:t>
            </w:r>
            <w:r>
              <w:t xml:space="preserve"> </w:t>
            </w:r>
            <w:r w:rsidRPr="00764F74">
              <w:t>Given the low incidence of ODS in this population (0.2-0.5%)</w:t>
            </w:r>
            <w:r w:rsidR="00DD659C">
              <w:t xml:space="preserve">, </w:t>
            </w:r>
            <w:r w:rsidRPr="00764F74">
              <w:t>concerns have been raised that targeting slow correction may result in net harms</w:t>
            </w:r>
          </w:p>
        </w:tc>
      </w:tr>
      <w:tr w:rsidR="00B22805" w:rsidRPr="008A7C90" w14:paraId="136E6453" w14:textId="77777777" w:rsidTr="00C73A94">
        <w:trPr>
          <w:trHeight w:val="262"/>
        </w:trPr>
        <w:tc>
          <w:tcPr>
            <w:tcW w:w="1975" w:type="dxa"/>
          </w:tcPr>
          <w:p w14:paraId="53202DB8" w14:textId="77777777" w:rsidR="0048655A" w:rsidRPr="008A7C90" w:rsidRDefault="0048655A" w:rsidP="0048655A">
            <w:pPr>
              <w:spacing w:line="259" w:lineRule="auto"/>
            </w:pPr>
            <w:r w:rsidRPr="008A7C90">
              <w:t>Target Population</w:t>
            </w:r>
          </w:p>
        </w:tc>
        <w:tc>
          <w:tcPr>
            <w:tcW w:w="8730" w:type="dxa"/>
          </w:tcPr>
          <w:p w14:paraId="1486D38C" w14:textId="266ED75F" w:rsidR="0048655A" w:rsidRPr="008A7C90" w:rsidRDefault="00764F74" w:rsidP="0048655A">
            <w:pPr>
              <w:spacing w:line="259" w:lineRule="auto"/>
            </w:pPr>
            <w:r w:rsidRPr="00764F74">
              <w:t xml:space="preserve">Adults hospitalized with a serum sodium &lt; 120 </w:t>
            </w:r>
            <w:proofErr w:type="spellStart"/>
            <w:r w:rsidRPr="00764F74">
              <w:t>meq</w:t>
            </w:r>
            <w:proofErr w:type="spellEnd"/>
            <w:r w:rsidRPr="00764F74">
              <w:t>/L between 2008 and 2023.</w:t>
            </w:r>
          </w:p>
        </w:tc>
      </w:tr>
      <w:tr w:rsidR="00B22805" w:rsidRPr="008A7C90" w14:paraId="5B80BED5" w14:textId="77777777" w:rsidTr="00C73A94">
        <w:trPr>
          <w:trHeight w:val="276"/>
        </w:trPr>
        <w:tc>
          <w:tcPr>
            <w:tcW w:w="1975" w:type="dxa"/>
          </w:tcPr>
          <w:p w14:paraId="0D0B7C0D" w14:textId="77777777" w:rsidR="0048655A" w:rsidRPr="008A7C90" w:rsidRDefault="0048655A" w:rsidP="0048655A">
            <w:pPr>
              <w:spacing w:line="259" w:lineRule="auto"/>
            </w:pPr>
            <w:r w:rsidRPr="008A7C90">
              <w:t>Intervention or Exposure</w:t>
            </w:r>
          </w:p>
        </w:tc>
        <w:tc>
          <w:tcPr>
            <w:tcW w:w="8730" w:type="dxa"/>
          </w:tcPr>
          <w:p w14:paraId="0CA2C589" w14:textId="5DE7749C" w:rsidR="0048655A" w:rsidRPr="008A7C90" w:rsidRDefault="00764F74" w:rsidP="0048655A">
            <w:pPr>
              <w:spacing w:line="259" w:lineRule="auto"/>
            </w:pPr>
            <w:r w:rsidRPr="00764F74">
              <w:t xml:space="preserve">Maximum 24-hour rate of serum sodium correction; slow (&lt; 8 </w:t>
            </w:r>
            <w:proofErr w:type="spellStart"/>
            <w:r w:rsidRPr="00764F74">
              <w:t>meq</w:t>
            </w:r>
            <w:proofErr w:type="spellEnd"/>
            <w:r w:rsidRPr="00764F74">
              <w:t xml:space="preserve">/L), medium (8-12 </w:t>
            </w:r>
            <w:proofErr w:type="spellStart"/>
            <w:r w:rsidRPr="00764F74">
              <w:t>meq</w:t>
            </w:r>
            <w:proofErr w:type="spellEnd"/>
            <w:r w:rsidRPr="00764F74">
              <w:t xml:space="preserve">/L) or fast (&gt; 12 </w:t>
            </w:r>
            <w:proofErr w:type="spellStart"/>
            <w:r w:rsidRPr="00764F74">
              <w:t>meq</w:t>
            </w:r>
            <w:proofErr w:type="spellEnd"/>
            <w:r w:rsidRPr="00764F74">
              <w:t>/L).</w:t>
            </w:r>
          </w:p>
        </w:tc>
      </w:tr>
      <w:tr w:rsidR="00B22805" w:rsidRPr="008A7C90" w14:paraId="13978FD3" w14:textId="77777777" w:rsidTr="00C73A94">
        <w:trPr>
          <w:trHeight w:val="2282"/>
        </w:trPr>
        <w:tc>
          <w:tcPr>
            <w:tcW w:w="1975" w:type="dxa"/>
          </w:tcPr>
          <w:p w14:paraId="7525D5B4" w14:textId="77777777" w:rsidR="0048655A" w:rsidRPr="00EF635D" w:rsidRDefault="0048655A" w:rsidP="0048655A">
            <w:pPr>
              <w:spacing w:line="259" w:lineRule="auto"/>
              <w:rPr>
                <w:b/>
                <w:bCs/>
              </w:rPr>
            </w:pPr>
            <w:r w:rsidRPr="00EF635D">
              <w:rPr>
                <w:b/>
                <w:bCs/>
              </w:rPr>
              <w:t>Outcomes/Key Findings</w:t>
            </w:r>
          </w:p>
        </w:tc>
        <w:tc>
          <w:tcPr>
            <w:tcW w:w="8730" w:type="dxa"/>
          </w:tcPr>
          <w:p w14:paraId="3CD35CB0" w14:textId="652B1841" w:rsidR="0048655A" w:rsidRPr="008A7C90" w:rsidRDefault="004958D6" w:rsidP="0031051B">
            <w:pPr>
              <w:spacing w:line="259" w:lineRule="auto"/>
            </w:pPr>
            <w:r>
              <w:rPr>
                <w:b/>
                <w:bCs/>
              </w:rPr>
              <w:t>Among</w:t>
            </w:r>
            <w:r w:rsidR="00181515">
              <w:rPr>
                <w:b/>
                <w:bCs/>
              </w:rPr>
              <w:t xml:space="preserve"> 13,988</w:t>
            </w:r>
            <w:r>
              <w:rPr>
                <w:b/>
                <w:bCs/>
              </w:rPr>
              <w:t xml:space="preserve"> </w:t>
            </w:r>
            <w:r w:rsidR="00181515">
              <w:rPr>
                <w:b/>
                <w:bCs/>
              </w:rPr>
              <w:t>patients,</w:t>
            </w:r>
            <w:r w:rsidR="00DD659C">
              <w:rPr>
                <w:b/>
                <w:bCs/>
              </w:rPr>
              <w:t xml:space="preserve"> compared to fast correction,</w:t>
            </w:r>
            <w:r w:rsidR="00181515" w:rsidRPr="00181515">
              <w:rPr>
                <w:b/>
                <w:bCs/>
              </w:rPr>
              <w:t xml:space="preserve"> both slow (RR 1.64; 95% CI 1.45 to 1.85) and medium (RR 1.31; 95% CI 1.18-1.46) </w:t>
            </w:r>
            <w:r w:rsidR="00181515">
              <w:rPr>
                <w:b/>
                <w:bCs/>
              </w:rPr>
              <w:t xml:space="preserve">24-hour sodium </w:t>
            </w:r>
            <w:r w:rsidR="00181515" w:rsidRPr="00181515">
              <w:rPr>
                <w:b/>
                <w:bCs/>
              </w:rPr>
              <w:t xml:space="preserve">correction rates were associated with a higher adjusted risk of </w:t>
            </w:r>
            <w:r w:rsidR="00181515">
              <w:rPr>
                <w:b/>
                <w:bCs/>
              </w:rPr>
              <w:t>90-day death or delayed neurologic events</w:t>
            </w:r>
            <w:r w:rsidR="00C73A94">
              <w:rPr>
                <w:b/>
                <w:bCs/>
              </w:rPr>
              <w:t xml:space="preserve">. </w:t>
            </w:r>
            <w:r w:rsidRPr="00181515">
              <w:rPr>
                <w:bCs/>
              </w:rPr>
              <w:t xml:space="preserve"> </w:t>
            </w:r>
            <w:r w:rsidR="00D71F1F" w:rsidRPr="00181515">
              <w:rPr>
                <w:bCs/>
              </w:rPr>
              <w:t xml:space="preserve"> The primary</w:t>
            </w:r>
            <w:r w:rsidR="00DD659C">
              <w:rPr>
                <w:bCs/>
              </w:rPr>
              <w:t xml:space="preserve"> composite</w:t>
            </w:r>
            <w:r w:rsidR="00D71F1F" w:rsidRPr="00181515">
              <w:rPr>
                <w:bCs/>
              </w:rPr>
              <w:t xml:space="preserve"> outcome</w:t>
            </w:r>
            <w:r w:rsidR="00D71F1F">
              <w:rPr>
                <w:bCs/>
              </w:rPr>
              <w:t xml:space="preserve"> of 90-day death or delayed neurologic events</w:t>
            </w:r>
            <w:r w:rsidR="00D71F1F" w:rsidRPr="00181515">
              <w:rPr>
                <w:bCs/>
              </w:rPr>
              <w:t xml:space="preserve"> occurred in 3000 patients (21%); 90-day death in 2554 (18%) and 90-day delayed neurologic events in 587 (5%). </w:t>
            </w:r>
            <w:r w:rsidR="00181515" w:rsidRPr="00181515">
              <w:rPr>
                <w:bCs/>
              </w:rPr>
              <w:t>These associations were consistent in</w:t>
            </w:r>
            <w:r w:rsidR="00181515">
              <w:rPr>
                <w:bCs/>
              </w:rPr>
              <w:t xml:space="preserve"> propensity-adjusted</w:t>
            </w:r>
            <w:r w:rsidR="00181515" w:rsidRPr="00181515">
              <w:rPr>
                <w:bCs/>
              </w:rPr>
              <w:t xml:space="preserve"> analyses and</w:t>
            </w:r>
            <w:r>
              <w:rPr>
                <w:bCs/>
              </w:rPr>
              <w:t xml:space="preserve"> across</w:t>
            </w:r>
            <w:r w:rsidR="00181515" w:rsidRPr="00181515">
              <w:rPr>
                <w:bCs/>
              </w:rPr>
              <w:t xml:space="preserve"> ODS risk factors.</w:t>
            </w:r>
            <w:r w:rsidR="00181515">
              <w:rPr>
                <w:bCs/>
              </w:rPr>
              <w:t xml:space="preserve"> </w:t>
            </w:r>
            <w:r w:rsidR="00DC2A89" w:rsidRPr="00181515">
              <w:rPr>
                <w:b/>
              </w:rPr>
              <w:t xml:space="preserve"> </w:t>
            </w:r>
            <w:r w:rsidR="00DC2A89" w:rsidRPr="00DC2A89">
              <w:rPr>
                <w:bCs/>
              </w:rPr>
              <w:t xml:space="preserve">ODS occurred in 26 patients (0.2%) and was more strongly associated with the degree of presenting hyponatremia than with the </w:t>
            </w:r>
            <w:r w:rsidR="00DD659C">
              <w:rPr>
                <w:bCs/>
              </w:rPr>
              <w:t>rate</w:t>
            </w:r>
            <w:r w:rsidR="00DC2A89" w:rsidRPr="00DC2A89">
              <w:rPr>
                <w:bCs/>
              </w:rPr>
              <w:t xml:space="preserve"> of sodium correction or other</w:t>
            </w:r>
            <w:r w:rsidR="00DD659C">
              <w:rPr>
                <w:bCs/>
              </w:rPr>
              <w:t xml:space="preserve"> ODS</w:t>
            </w:r>
            <w:r w:rsidR="00DC2A89" w:rsidRPr="00DC2A89">
              <w:rPr>
                <w:bCs/>
              </w:rPr>
              <w:t xml:space="preserve"> risk factors.</w:t>
            </w:r>
            <w:r w:rsidR="00DC2A89" w:rsidRPr="00181515">
              <w:rPr>
                <w:b/>
              </w:rPr>
              <w:t xml:space="preserve">  </w:t>
            </w:r>
          </w:p>
        </w:tc>
      </w:tr>
      <w:tr w:rsidR="00B22805" w:rsidRPr="008A7C90" w14:paraId="62542513" w14:textId="77777777" w:rsidTr="00C73A94">
        <w:trPr>
          <w:trHeight w:val="816"/>
        </w:trPr>
        <w:tc>
          <w:tcPr>
            <w:tcW w:w="1975" w:type="dxa"/>
          </w:tcPr>
          <w:p w14:paraId="38755ADC" w14:textId="77777777" w:rsidR="0048655A" w:rsidRPr="00EF635D" w:rsidRDefault="0048655A" w:rsidP="0048655A">
            <w:pPr>
              <w:spacing w:line="259" w:lineRule="auto"/>
              <w:rPr>
                <w:b/>
                <w:bCs/>
              </w:rPr>
            </w:pPr>
            <w:r w:rsidRPr="00EF635D">
              <w:rPr>
                <w:b/>
                <w:bCs/>
              </w:rPr>
              <w:t>Resulting Action/Change</w:t>
            </w:r>
          </w:p>
        </w:tc>
        <w:tc>
          <w:tcPr>
            <w:tcW w:w="8730" w:type="dxa"/>
          </w:tcPr>
          <w:p w14:paraId="092B6F29" w14:textId="3FCD83DD" w:rsidR="0048655A" w:rsidRPr="00EF635D" w:rsidRDefault="00181515" w:rsidP="0048655A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1515">
              <w:rPr>
                <w:b/>
                <w:bCs/>
              </w:rPr>
              <w:t>reatment guidelines for severe hyponatremia should be re-examined to allow for faster sodium correction (e.g.</w:t>
            </w:r>
            <w:r w:rsidR="00D71F1F">
              <w:rPr>
                <w:b/>
                <w:bCs/>
              </w:rPr>
              <w:t xml:space="preserve"> </w:t>
            </w:r>
            <w:r w:rsidR="004958D6">
              <w:rPr>
                <w:b/>
                <w:bCs/>
              </w:rPr>
              <w:t>10</w:t>
            </w:r>
            <w:r w:rsidRPr="00181515">
              <w:rPr>
                <w:b/>
                <w:bCs/>
              </w:rPr>
              <w:t>-1</w:t>
            </w:r>
            <w:r w:rsidR="00D71F1F">
              <w:rPr>
                <w:b/>
                <w:bCs/>
              </w:rPr>
              <w:t>2</w:t>
            </w:r>
            <w:r w:rsidRPr="00181515">
              <w:rPr>
                <w:b/>
                <w:bCs/>
              </w:rPr>
              <w:t xml:space="preserve"> </w:t>
            </w:r>
            <w:proofErr w:type="spellStart"/>
            <w:r w:rsidRPr="00181515">
              <w:rPr>
                <w:b/>
                <w:bCs/>
              </w:rPr>
              <w:t>meq</w:t>
            </w:r>
            <w:proofErr w:type="spellEnd"/>
            <w:r w:rsidRPr="00181515">
              <w:rPr>
                <w:b/>
                <w:bCs/>
              </w:rPr>
              <w:t xml:space="preserve">/L/24 hours), irrespective of assumed </w:t>
            </w:r>
            <w:r w:rsidR="004958D6">
              <w:rPr>
                <w:b/>
                <w:bCs/>
              </w:rPr>
              <w:t xml:space="preserve">ODS </w:t>
            </w:r>
            <w:r w:rsidRPr="00181515">
              <w:rPr>
                <w:b/>
                <w:bCs/>
              </w:rPr>
              <w:t xml:space="preserve">risk factors. </w:t>
            </w:r>
          </w:p>
        </w:tc>
      </w:tr>
      <w:tr w:rsidR="00B22805" w:rsidRPr="008A7C90" w14:paraId="57800790" w14:textId="77777777" w:rsidTr="00C73A94">
        <w:trPr>
          <w:trHeight w:val="816"/>
        </w:trPr>
        <w:tc>
          <w:tcPr>
            <w:tcW w:w="1975" w:type="dxa"/>
          </w:tcPr>
          <w:p w14:paraId="6C4E04AC" w14:textId="161310DB" w:rsidR="00CB0455" w:rsidRPr="00EB0401" w:rsidRDefault="00CB0455" w:rsidP="0048655A">
            <w:r w:rsidRPr="00EB0401">
              <w:t>Additional Recommendations</w:t>
            </w:r>
          </w:p>
        </w:tc>
        <w:tc>
          <w:tcPr>
            <w:tcW w:w="8730" w:type="dxa"/>
          </w:tcPr>
          <w:p w14:paraId="08163871" w14:textId="28946D9F" w:rsidR="00CB0455" w:rsidRPr="00EB0401" w:rsidRDefault="00D71F1F" w:rsidP="0048655A">
            <w:r>
              <w:t>Frequent</w:t>
            </w:r>
            <w:r w:rsidR="004958D6">
              <w:t xml:space="preserve"> monitoring of sodium correction</w:t>
            </w:r>
            <w:r>
              <w:t xml:space="preserve"> rates</w:t>
            </w:r>
            <w:r w:rsidR="004958D6">
              <w:t xml:space="preserve"> is not warranted; </w:t>
            </w:r>
            <w:r>
              <w:t xml:space="preserve">treatment </w:t>
            </w:r>
            <w:r w:rsidR="004958D6">
              <w:t xml:space="preserve">can be safely provided outside of the </w:t>
            </w:r>
            <w:r w:rsidR="00B22805">
              <w:t>ICU</w:t>
            </w:r>
            <w:r w:rsidR="004958D6">
              <w:t xml:space="preserve"> in most circumstances. </w:t>
            </w:r>
          </w:p>
        </w:tc>
      </w:tr>
      <w:tr w:rsidR="00B22805" w:rsidRPr="008A7C90" w14:paraId="21F6FB6D" w14:textId="77777777" w:rsidTr="00C73A94">
        <w:trPr>
          <w:trHeight w:val="552"/>
        </w:trPr>
        <w:tc>
          <w:tcPr>
            <w:tcW w:w="1975" w:type="dxa"/>
          </w:tcPr>
          <w:p w14:paraId="511F380C" w14:textId="77777777" w:rsidR="0048655A" w:rsidRPr="008A7C90" w:rsidRDefault="0048655A" w:rsidP="0048655A">
            <w:pPr>
              <w:spacing w:line="259" w:lineRule="auto"/>
            </w:pPr>
            <w:r w:rsidRPr="008A7C90">
              <w:t>Implementation Tools</w:t>
            </w:r>
            <w:r w:rsidRPr="008A7C90">
              <w:tab/>
            </w:r>
          </w:p>
        </w:tc>
        <w:tc>
          <w:tcPr>
            <w:tcW w:w="8730" w:type="dxa"/>
          </w:tcPr>
          <w:p w14:paraId="35B5FEA6" w14:textId="2E92C682" w:rsidR="0048655A" w:rsidRPr="008A7C90" w:rsidRDefault="00D71F1F" w:rsidP="0048655A">
            <w:pPr>
              <w:spacing w:line="259" w:lineRule="auto"/>
            </w:pPr>
            <w:r>
              <w:t xml:space="preserve">Revised regional guidelines and KPHC </w:t>
            </w:r>
            <w:proofErr w:type="spellStart"/>
            <w:r>
              <w:t>orderset</w:t>
            </w:r>
            <w:proofErr w:type="spellEnd"/>
            <w:r>
              <w:t xml:space="preserve"> for treatment of hyponatremia.</w:t>
            </w:r>
          </w:p>
        </w:tc>
      </w:tr>
      <w:tr w:rsidR="00B22805" w:rsidRPr="008A7C90" w14:paraId="02D4678D" w14:textId="77777777" w:rsidTr="00C73A94">
        <w:trPr>
          <w:trHeight w:val="552"/>
        </w:trPr>
        <w:tc>
          <w:tcPr>
            <w:tcW w:w="1975" w:type="dxa"/>
          </w:tcPr>
          <w:p w14:paraId="1B184543" w14:textId="77777777" w:rsidR="0048655A" w:rsidRPr="008A7C90" w:rsidRDefault="0048655A" w:rsidP="0048655A">
            <w:pPr>
              <w:spacing w:line="259" w:lineRule="auto"/>
            </w:pPr>
            <w:r w:rsidRPr="008A7C90">
              <w:t>Implementation Measurement</w:t>
            </w:r>
          </w:p>
        </w:tc>
        <w:tc>
          <w:tcPr>
            <w:tcW w:w="8730" w:type="dxa"/>
          </w:tcPr>
          <w:p w14:paraId="0D25EBD1" w14:textId="410ACB20" w:rsidR="0048655A" w:rsidRPr="008A7C90" w:rsidRDefault="00B22805" w:rsidP="0048655A">
            <w:pPr>
              <w:spacing w:line="259" w:lineRule="auto"/>
            </w:pPr>
            <w:r>
              <w:t xml:space="preserve">Death rates among patients with severe hyponatremia; variation in ICU admission rates for severe hyponatremia by medical center; trends in maximal sodium correction rates. </w:t>
            </w:r>
          </w:p>
        </w:tc>
      </w:tr>
      <w:tr w:rsidR="00B22805" w:rsidRPr="008A7C90" w14:paraId="66558595" w14:textId="77777777" w:rsidTr="00C73A94">
        <w:trPr>
          <w:trHeight w:val="538"/>
        </w:trPr>
        <w:tc>
          <w:tcPr>
            <w:tcW w:w="1975" w:type="dxa"/>
          </w:tcPr>
          <w:p w14:paraId="29954FA9" w14:textId="77777777" w:rsidR="0048655A" w:rsidRPr="008A7C90" w:rsidRDefault="0048655A" w:rsidP="0048655A">
            <w:pPr>
              <w:spacing w:line="259" w:lineRule="auto"/>
            </w:pPr>
            <w:r w:rsidRPr="008A7C90">
              <w:lastRenderedPageBreak/>
              <w:t>Reference</w:t>
            </w:r>
          </w:p>
        </w:tc>
        <w:tc>
          <w:tcPr>
            <w:tcW w:w="8730" w:type="dxa"/>
          </w:tcPr>
          <w:p w14:paraId="722DE921" w14:textId="671964BB" w:rsidR="0048655A" w:rsidRPr="008A7C90" w:rsidRDefault="00B22805" w:rsidP="0048655A">
            <w:pPr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514E9FE4" wp14:editId="1DA52713">
                  <wp:extent cx="5302362" cy="3891516"/>
                  <wp:effectExtent l="0" t="0" r="0" b="0"/>
                  <wp:docPr id="1634272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0762" cy="3912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2800767" w14:textId="77777777" w:rsidR="00FE6194" w:rsidRDefault="00FE6194" w:rsidP="00C73A94">
      <w:pPr>
        <w:spacing w:after="0"/>
      </w:pPr>
    </w:p>
    <w:sectPr w:rsidR="00FE6194" w:rsidSect="00D245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90"/>
    <w:rsid w:val="000811DB"/>
    <w:rsid w:val="000F1F16"/>
    <w:rsid w:val="00117444"/>
    <w:rsid w:val="00181515"/>
    <w:rsid w:val="001B45B4"/>
    <w:rsid w:val="001D52BB"/>
    <w:rsid w:val="001E348B"/>
    <w:rsid w:val="00246A4F"/>
    <w:rsid w:val="002A1A00"/>
    <w:rsid w:val="0031051B"/>
    <w:rsid w:val="003D755D"/>
    <w:rsid w:val="003E27D1"/>
    <w:rsid w:val="003E34C5"/>
    <w:rsid w:val="00481FDC"/>
    <w:rsid w:val="0048655A"/>
    <w:rsid w:val="004958D6"/>
    <w:rsid w:val="004E28EE"/>
    <w:rsid w:val="00514319"/>
    <w:rsid w:val="00577CB9"/>
    <w:rsid w:val="00580CD7"/>
    <w:rsid w:val="005A610F"/>
    <w:rsid w:val="00603A6B"/>
    <w:rsid w:val="00671AA8"/>
    <w:rsid w:val="006B45D5"/>
    <w:rsid w:val="006D32D2"/>
    <w:rsid w:val="0072563B"/>
    <w:rsid w:val="00764F74"/>
    <w:rsid w:val="00777238"/>
    <w:rsid w:val="008026F1"/>
    <w:rsid w:val="008131C8"/>
    <w:rsid w:val="008A7C90"/>
    <w:rsid w:val="009001F2"/>
    <w:rsid w:val="00933309"/>
    <w:rsid w:val="00A16BB1"/>
    <w:rsid w:val="00A25BB1"/>
    <w:rsid w:val="00A44E70"/>
    <w:rsid w:val="00AF745E"/>
    <w:rsid w:val="00B22805"/>
    <w:rsid w:val="00C3487D"/>
    <w:rsid w:val="00C4025A"/>
    <w:rsid w:val="00C73A94"/>
    <w:rsid w:val="00CB0455"/>
    <w:rsid w:val="00CF4301"/>
    <w:rsid w:val="00D003F1"/>
    <w:rsid w:val="00D24534"/>
    <w:rsid w:val="00D3727A"/>
    <w:rsid w:val="00D71F1F"/>
    <w:rsid w:val="00DC2A89"/>
    <w:rsid w:val="00DD659C"/>
    <w:rsid w:val="00E665FD"/>
    <w:rsid w:val="00EB0401"/>
    <w:rsid w:val="00EF635D"/>
    <w:rsid w:val="00EF665D"/>
    <w:rsid w:val="00FE6194"/>
    <w:rsid w:val="0B4BE6C0"/>
    <w:rsid w:val="15C3FCB9"/>
    <w:rsid w:val="1A557A28"/>
    <w:rsid w:val="30BD5087"/>
    <w:rsid w:val="3DEA859D"/>
    <w:rsid w:val="4E551E08"/>
    <w:rsid w:val="7304F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87FD"/>
  <w15:chartTrackingRefBased/>
  <w15:docId w15:val="{9FC22822-AC04-437A-95FB-02AB6792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90"/>
  </w:style>
  <w:style w:type="paragraph" w:styleId="Heading1">
    <w:name w:val="heading 1"/>
    <w:basedOn w:val="Normal"/>
    <w:next w:val="Normal"/>
    <w:link w:val="Heading1Char"/>
    <w:uiPriority w:val="9"/>
    <w:qFormat/>
    <w:rsid w:val="008A7C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A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C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7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5ED25C5EEDE48930075EDAEDA1356" ma:contentTypeVersion="13" ma:contentTypeDescription="Create a new document." ma:contentTypeScope="" ma:versionID="79e253cff8d6111fdbe4af962babb820">
  <xsd:schema xmlns:xsd="http://www.w3.org/2001/XMLSchema" xmlns:xs="http://www.w3.org/2001/XMLSchema" xmlns:p="http://schemas.microsoft.com/office/2006/metadata/properties" xmlns:ns2="50198319-e030-46fc-9cf1-213c5074bd83" xmlns:ns3="46b44890-998f-4b06-81d8-9bcbea754842" targetNamespace="http://schemas.microsoft.com/office/2006/metadata/properties" ma:root="true" ma:fieldsID="c092b004c3f8bd22d657a723d9db37ab" ns2:_="" ns3:_="">
    <xsd:import namespace="50198319-e030-46fc-9cf1-213c5074bd83"/>
    <xsd:import namespace="46b44890-998f-4b06-81d8-9bcbea754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8319-e030-46fc-9cf1-213c5074b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112196-7e5b-431e-8fea-f50fb91b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44890-998f-4b06-81d8-9bcbea754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94f972-1ed6-4321-a21c-acfcba1fb6bd}" ma:internalName="TaxCatchAll" ma:showField="CatchAllData" ma:web="46b44890-998f-4b06-81d8-9bcbea754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b44890-998f-4b06-81d8-9bcbea754842"/>
    <lcf76f155ced4ddcb4097134ff3c332f xmlns="50198319-e030-46fc-9cf1-213c5074bd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A9F24-7AFD-42C3-B1CF-D4714BB17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98319-e030-46fc-9cf1-213c5074bd83"/>
    <ds:schemaRef ds:uri="46b44890-998f-4b06-81d8-9bcbea754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88A28-5B10-48BE-B8D6-480C75C53C84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6b44890-998f-4b06-81d8-9bcbea754842"/>
    <ds:schemaRef ds:uri="50198319-e030-46fc-9cf1-213c5074bd8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2B8E45-4B7B-44CA-883D-6EABF409C3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4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Cimone E Parker</dc:creator>
  <cp:keywords/>
  <dc:description/>
  <cp:lastModifiedBy>Stephanie Prausnitz</cp:lastModifiedBy>
  <cp:revision>2</cp:revision>
  <dcterms:created xsi:type="dcterms:W3CDTF">2025-08-19T15:53:00Z</dcterms:created>
  <dcterms:modified xsi:type="dcterms:W3CDTF">2025-08-19T15:53:00Z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0x010100D8B5ED25C5EEDE48930075EDAEDA1356</vt:lpwstr>
  </property>
  <property fmtid="{D5CDD505-2E9C-101B-9397-08002B2CF9AE}" pid="3" name="MediaServiceImageTags">
    <vt:lpwstr/>
  </property>
</Properties>
</file>