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12DC" w14:textId="57595E1D" w:rsidR="1A557A28" w:rsidRDefault="002E0BAD" w:rsidP="4E551E08">
      <w:pPr>
        <w:rPr>
          <w:rFonts w:ascii="Calibri" w:eastAsia="Calibri" w:hAnsi="Calibri" w:cs="Calibri"/>
          <w:color w:val="4472C4" w:themeColor="accent1"/>
          <w:sz w:val="28"/>
          <w:szCs w:val="28"/>
        </w:rPr>
      </w:pPr>
      <w:r>
        <w:rPr>
          <w:rFonts w:ascii="Calibri" w:eastAsia="Calibri" w:hAnsi="Calibri" w:cs="Calibri"/>
          <w:color w:val="4472C4" w:themeColor="accent1"/>
          <w:sz w:val="28"/>
          <w:szCs w:val="28"/>
        </w:rPr>
        <w:t>Improved Outcomes with Home-Based Cardiac Rehabilitation: Experience from a Large Integrated Healthcare System</w:t>
      </w:r>
    </w:p>
    <w:p w14:paraId="7FCD574A" w14:textId="2E8523C0" w:rsidR="008A7C90" w:rsidRDefault="002E0BAD" w:rsidP="00E012D5">
      <w:pPr>
        <w:spacing w:after="0" w:line="276" w:lineRule="auto"/>
      </w:pPr>
      <w:r w:rsidRPr="002E0BAD">
        <w:t>Uma Vadlakonda</w:t>
      </w:r>
      <w:r>
        <w:t xml:space="preserve"> MD,</w:t>
      </w:r>
      <w:r w:rsidRPr="002E0BAD">
        <w:t xml:space="preserve"> Bradley Frueh</w:t>
      </w:r>
      <w:r>
        <w:t xml:space="preserve"> MPH</w:t>
      </w:r>
      <w:r w:rsidRPr="002E0BAD">
        <w:t>, Mehreen Khan</w:t>
      </w:r>
      <w:r>
        <w:t xml:space="preserve"> MD</w:t>
      </w:r>
      <w:r w:rsidRPr="002E0BAD">
        <w:t>, Mary Reed</w:t>
      </w:r>
      <w:r>
        <w:t xml:space="preserve"> DrPH</w:t>
      </w:r>
    </w:p>
    <w:tbl>
      <w:tblPr>
        <w:tblStyle w:val="TableGrid"/>
        <w:tblpPr w:leftFromText="180" w:rightFromText="180" w:vertAnchor="page" w:horzAnchor="margin" w:tblpY="2581"/>
        <w:tblW w:w="10795" w:type="dxa"/>
        <w:tblLook w:val="04A0" w:firstRow="1" w:lastRow="0" w:firstColumn="1" w:lastColumn="0" w:noHBand="0" w:noVBand="1"/>
      </w:tblPr>
      <w:tblGrid>
        <w:gridCol w:w="2198"/>
        <w:gridCol w:w="8597"/>
      </w:tblGrid>
      <w:tr w:rsidR="0048655A" w:rsidRPr="008A7C90" w14:paraId="307289BF" w14:textId="77777777" w:rsidTr="00E012D5">
        <w:trPr>
          <w:trHeight w:val="350"/>
        </w:trPr>
        <w:tc>
          <w:tcPr>
            <w:tcW w:w="2198" w:type="dxa"/>
          </w:tcPr>
          <w:p w14:paraId="2C7E2D09" w14:textId="77777777" w:rsidR="0048655A" w:rsidRPr="008A7C90" w:rsidRDefault="0048655A" w:rsidP="0048655A">
            <w:pPr>
              <w:spacing w:line="259" w:lineRule="auto"/>
            </w:pPr>
            <w:bookmarkStart w:id="0" w:name="_Hlk54105970"/>
            <w:r w:rsidRPr="008A7C90">
              <w:t>Challenge</w:t>
            </w:r>
          </w:p>
        </w:tc>
        <w:tc>
          <w:tcPr>
            <w:tcW w:w="8597" w:type="dxa"/>
          </w:tcPr>
          <w:p w14:paraId="7F9273D4" w14:textId="56DA1966" w:rsidR="0048655A" w:rsidRPr="0031051B" w:rsidRDefault="00E012D5" w:rsidP="0048655A">
            <w:pPr>
              <w:spacing w:line="259" w:lineRule="auto"/>
              <w:rPr>
                <w:b/>
                <w:bCs/>
              </w:rPr>
            </w:pPr>
            <w:r>
              <w:rPr>
                <w:b/>
                <w:bCs/>
              </w:rPr>
              <w:t>Examining</w:t>
            </w:r>
            <w:r w:rsidR="00E348B6">
              <w:rPr>
                <w:b/>
                <w:bCs/>
              </w:rPr>
              <w:t xml:space="preserve"> home-based cardiac rehabilitation</w:t>
            </w:r>
            <w:r w:rsidR="0048655A" w:rsidRPr="0031051B">
              <w:rPr>
                <w:b/>
                <w:bCs/>
              </w:rPr>
              <w:t xml:space="preserve"> </w:t>
            </w:r>
            <w:r>
              <w:rPr>
                <w:b/>
                <w:bCs/>
              </w:rPr>
              <w:t>as a safe and successful modality for cardiovascular care; Contemporary outcomes 30+ years into the KPNC experience</w:t>
            </w:r>
          </w:p>
        </w:tc>
      </w:tr>
      <w:tr w:rsidR="0048655A" w:rsidRPr="008A7C90" w14:paraId="67D435C8" w14:textId="77777777" w:rsidTr="00E012D5">
        <w:trPr>
          <w:trHeight w:val="1091"/>
        </w:trPr>
        <w:tc>
          <w:tcPr>
            <w:tcW w:w="2198" w:type="dxa"/>
          </w:tcPr>
          <w:p w14:paraId="351B366F" w14:textId="77777777" w:rsidR="0048655A" w:rsidRPr="008A7C90" w:rsidRDefault="0048655A" w:rsidP="0048655A">
            <w:pPr>
              <w:spacing w:line="259" w:lineRule="auto"/>
            </w:pPr>
            <w:r w:rsidRPr="008A7C90">
              <w:t>Existing Evidence</w:t>
            </w:r>
          </w:p>
        </w:tc>
        <w:tc>
          <w:tcPr>
            <w:tcW w:w="8597" w:type="dxa"/>
          </w:tcPr>
          <w:p w14:paraId="70041630" w14:textId="0E831AB4" w:rsidR="0048655A" w:rsidRPr="008A7C90" w:rsidRDefault="00E348B6" w:rsidP="0048655A">
            <w:pPr>
              <w:spacing w:line="259" w:lineRule="auto"/>
            </w:pPr>
            <w:r>
              <w:t xml:space="preserve">Cardiovascular disease remains the leading cause of death globally. Cardiac Rehabilitation (CR), a multidisciplinary approach to applying secondary prevention therapies, is pivotal to recovery after myocardial infarction. Although randomized trials have shown CR to decrease recurrent MI and mortality rates, national enrollment in CR remains less than 30%. </w:t>
            </w:r>
            <w:r w:rsidRPr="00E348B6">
              <w:rPr>
                <w:color w:val="000000"/>
                <w:shd w:val="clear" w:color="auto" w:fill="FFFFFF"/>
              </w:rPr>
              <w:t xml:space="preserve"> </w:t>
            </w:r>
            <w:r>
              <w:t xml:space="preserve">KPNC </w:t>
            </w:r>
            <w:r w:rsidRPr="00E348B6">
              <w:t xml:space="preserve">has been a leader in establishing a novel home-based CR program for the last 3 decades. In a large multi-site retrospective cohort study of CR-eligible patients, we examined </w:t>
            </w:r>
            <w:r w:rsidR="00DD0743">
              <w:t>contemporary</w:t>
            </w:r>
            <w:r w:rsidRPr="00E348B6">
              <w:t xml:space="preserve"> associations </w:t>
            </w:r>
            <w:r w:rsidR="00DD0743">
              <w:t>of</w:t>
            </w:r>
            <w:r w:rsidRPr="00E348B6">
              <w:t xml:space="preserve"> CR </w:t>
            </w:r>
            <w:r w:rsidR="00DD0743">
              <w:t xml:space="preserve">with </w:t>
            </w:r>
            <w:r w:rsidRPr="00E348B6">
              <w:t>cardiac events, care utilization, and mortality.</w:t>
            </w:r>
          </w:p>
        </w:tc>
      </w:tr>
      <w:tr w:rsidR="0048655A" w:rsidRPr="008A7C90" w14:paraId="136E6453" w14:textId="77777777" w:rsidTr="00E012D5">
        <w:trPr>
          <w:trHeight w:val="262"/>
        </w:trPr>
        <w:tc>
          <w:tcPr>
            <w:tcW w:w="2198" w:type="dxa"/>
          </w:tcPr>
          <w:p w14:paraId="53202DB8" w14:textId="77777777" w:rsidR="0048655A" w:rsidRPr="008A7C90" w:rsidRDefault="0048655A" w:rsidP="0048655A">
            <w:pPr>
              <w:spacing w:line="259" w:lineRule="auto"/>
            </w:pPr>
            <w:r w:rsidRPr="008A7C90">
              <w:t>Target Population</w:t>
            </w:r>
          </w:p>
        </w:tc>
        <w:tc>
          <w:tcPr>
            <w:tcW w:w="8597" w:type="dxa"/>
          </w:tcPr>
          <w:p w14:paraId="1486D38C" w14:textId="244FB2B5" w:rsidR="0048655A" w:rsidRPr="008A7C90" w:rsidRDefault="002E0BAD" w:rsidP="0048655A">
            <w:pPr>
              <w:spacing w:line="259" w:lineRule="auto"/>
            </w:pPr>
            <w:r>
              <w:t xml:space="preserve">Adults (18-85y) </w:t>
            </w:r>
            <w:r w:rsidR="00E348B6">
              <w:t xml:space="preserve">who have experienced myocardial infarction, CABG, or </w:t>
            </w:r>
            <w:proofErr w:type="gramStart"/>
            <w:r w:rsidR="00E348B6">
              <w:t>PCI</w:t>
            </w:r>
            <w:r w:rsidR="00E012D5">
              <w:t xml:space="preserve">  from</w:t>
            </w:r>
            <w:proofErr w:type="gramEnd"/>
            <w:r w:rsidR="00E012D5">
              <w:t xml:space="preserve"> 01/01/2016 to 12/31/2022; i.e. </w:t>
            </w:r>
            <w:r w:rsidR="00E348B6">
              <w:t>eligible for cardiac rehabilitation</w:t>
            </w:r>
          </w:p>
        </w:tc>
      </w:tr>
      <w:tr w:rsidR="0048655A" w:rsidRPr="008A7C90" w14:paraId="5B80BED5" w14:textId="77777777" w:rsidTr="00E012D5">
        <w:trPr>
          <w:trHeight w:val="276"/>
        </w:trPr>
        <w:tc>
          <w:tcPr>
            <w:tcW w:w="2198" w:type="dxa"/>
          </w:tcPr>
          <w:p w14:paraId="0D0B7C0D" w14:textId="5C4CC650" w:rsidR="0048655A" w:rsidRPr="008A7C90" w:rsidRDefault="0048655A" w:rsidP="0048655A">
            <w:pPr>
              <w:spacing w:line="259" w:lineRule="auto"/>
            </w:pPr>
            <w:r w:rsidRPr="008A7C90">
              <w:t>Exposure</w:t>
            </w:r>
          </w:p>
        </w:tc>
        <w:tc>
          <w:tcPr>
            <w:tcW w:w="8597" w:type="dxa"/>
          </w:tcPr>
          <w:p w14:paraId="0CA2C589" w14:textId="46795272" w:rsidR="0048655A" w:rsidRPr="008A7C90" w:rsidRDefault="00E348B6" w:rsidP="0048655A">
            <w:pPr>
              <w:spacing w:line="259" w:lineRule="auto"/>
            </w:pPr>
            <w:r>
              <w:t>Enrollment (</w:t>
            </w:r>
            <w:r>
              <w:rPr>
                <w:rFonts w:cstheme="minorHAnsi"/>
              </w:rPr>
              <w:t>≥</w:t>
            </w:r>
            <w:r>
              <w:t>1 session) and completion (</w:t>
            </w:r>
            <w:r>
              <w:rPr>
                <w:rFonts w:cstheme="minorHAnsi"/>
              </w:rPr>
              <w:t>≥</w:t>
            </w:r>
            <w:r>
              <w:t>3 sessions) of the KPNC home-based CR program</w:t>
            </w:r>
            <w:r w:rsidR="0048655A" w:rsidRPr="008A7C90">
              <w:t xml:space="preserve"> </w:t>
            </w:r>
          </w:p>
        </w:tc>
      </w:tr>
      <w:tr w:rsidR="0048655A" w:rsidRPr="008A7C90" w14:paraId="13978FD3" w14:textId="77777777" w:rsidTr="00E012D5">
        <w:trPr>
          <w:trHeight w:val="2282"/>
        </w:trPr>
        <w:tc>
          <w:tcPr>
            <w:tcW w:w="2198" w:type="dxa"/>
          </w:tcPr>
          <w:p w14:paraId="7525D5B4" w14:textId="77777777" w:rsidR="0048655A" w:rsidRPr="00EF635D" w:rsidRDefault="0048655A" w:rsidP="0048655A">
            <w:pPr>
              <w:spacing w:line="259" w:lineRule="auto"/>
              <w:rPr>
                <w:b/>
                <w:bCs/>
              </w:rPr>
            </w:pPr>
            <w:r w:rsidRPr="00EF635D">
              <w:rPr>
                <w:b/>
                <w:bCs/>
              </w:rPr>
              <w:t>Outcomes/Key Findings</w:t>
            </w:r>
          </w:p>
        </w:tc>
        <w:tc>
          <w:tcPr>
            <w:tcW w:w="8597" w:type="dxa"/>
          </w:tcPr>
          <w:p w14:paraId="52E2B434" w14:textId="1A23F5A4" w:rsidR="00DD0743" w:rsidRPr="00BA2A7E" w:rsidRDefault="00DD0743" w:rsidP="0031051B">
            <w:pPr>
              <w:spacing w:line="259" w:lineRule="auto"/>
            </w:pPr>
            <w:r>
              <w:rPr>
                <w:b/>
                <w:bCs/>
              </w:rPr>
              <w:t xml:space="preserve">CR participation is linked to </w:t>
            </w:r>
            <w:r w:rsidR="00BA2A7E">
              <w:rPr>
                <w:b/>
                <w:bCs/>
              </w:rPr>
              <w:t xml:space="preserve">significantly </w:t>
            </w:r>
            <w:r>
              <w:rPr>
                <w:b/>
                <w:bCs/>
              </w:rPr>
              <w:t xml:space="preserve">lower hazard of mortality at 1 year </w:t>
            </w:r>
            <w:r w:rsidR="00BA2A7E">
              <w:rPr>
                <w:b/>
                <w:bCs/>
              </w:rPr>
              <w:t xml:space="preserve">(Adjusted Hazard Ratio 0.67, 95% CI 0.59-0.75; Figure). </w:t>
            </w:r>
          </w:p>
          <w:p w14:paraId="28FCB85C" w14:textId="10D75650" w:rsidR="00DD0743" w:rsidRPr="00BA2A7E" w:rsidRDefault="00DD0743" w:rsidP="0031051B">
            <w:pPr>
              <w:spacing w:line="259" w:lineRule="auto"/>
            </w:pPr>
            <w:r>
              <w:rPr>
                <w:b/>
                <w:bCs/>
              </w:rPr>
              <w:t xml:space="preserve">CR completion is associated with fewer recurrent hospitalizations, despite greater ED </w:t>
            </w:r>
            <w:r w:rsidR="00BA2A7E">
              <w:rPr>
                <w:b/>
                <w:bCs/>
              </w:rPr>
              <w:t xml:space="preserve">visits. </w:t>
            </w:r>
            <w:r w:rsidR="00BA2A7E">
              <w:t>Such a finding may reflect</w:t>
            </w:r>
            <w:r w:rsidR="00BA2A7E" w:rsidRPr="00BA2A7E">
              <w:rPr>
                <w:color w:val="000000"/>
                <w:shd w:val="clear" w:color="auto" w:fill="FFFFFF"/>
              </w:rPr>
              <w:t xml:space="preserve"> </w:t>
            </w:r>
            <w:r w:rsidR="00BA2A7E" w:rsidRPr="00BA2A7E">
              <w:t>that CR-enrolled patients are highly aware of ED return precautions and are more likely to utilize the medical system but were safely discharged home</w:t>
            </w:r>
            <w:r w:rsidR="00BA2A7E">
              <w:t>.</w:t>
            </w:r>
          </w:p>
          <w:p w14:paraId="3CD35CB0" w14:textId="067B695C" w:rsidR="0048655A" w:rsidRPr="008A7C90" w:rsidRDefault="00DD0743" w:rsidP="0031051B">
            <w:pPr>
              <w:spacing w:line="259" w:lineRule="auto"/>
            </w:pPr>
            <w:r>
              <w:rPr>
                <w:b/>
                <w:bCs/>
              </w:rPr>
              <w:t>Such benefits persisted whether patients completed 1, 3, or 6 visits</w:t>
            </w:r>
            <w:r w:rsidR="00BA2A7E">
              <w:rPr>
                <w:b/>
                <w:bCs/>
              </w:rPr>
              <w:t>.</w:t>
            </w:r>
            <w:r w:rsidR="00BA2A7E" w:rsidRPr="00BA2A7E">
              <w:rPr>
                <w:color w:val="000000"/>
                <w:shd w:val="clear" w:color="auto" w:fill="FFFFFF"/>
              </w:rPr>
              <w:t xml:space="preserve"> </w:t>
            </w:r>
            <w:r w:rsidR="00BA2A7E" w:rsidRPr="00BA2A7E">
              <w:t>This suggests a large portion of the benefits associated with CR are related to enrollment alone.</w:t>
            </w:r>
          </w:p>
        </w:tc>
      </w:tr>
      <w:tr w:rsidR="0048655A" w:rsidRPr="008A7C90" w14:paraId="62542513" w14:textId="77777777" w:rsidTr="00E012D5">
        <w:trPr>
          <w:trHeight w:val="816"/>
        </w:trPr>
        <w:tc>
          <w:tcPr>
            <w:tcW w:w="2198" w:type="dxa"/>
          </w:tcPr>
          <w:p w14:paraId="38755ADC" w14:textId="77777777" w:rsidR="0048655A" w:rsidRPr="00EF635D" w:rsidRDefault="0048655A" w:rsidP="0048655A">
            <w:pPr>
              <w:spacing w:line="259" w:lineRule="auto"/>
              <w:rPr>
                <w:b/>
                <w:bCs/>
              </w:rPr>
            </w:pPr>
            <w:r w:rsidRPr="00EF635D">
              <w:rPr>
                <w:b/>
                <w:bCs/>
              </w:rPr>
              <w:t>Resulting Action/Change</w:t>
            </w:r>
          </w:p>
        </w:tc>
        <w:tc>
          <w:tcPr>
            <w:tcW w:w="8597" w:type="dxa"/>
          </w:tcPr>
          <w:p w14:paraId="092B6F29" w14:textId="12587187" w:rsidR="0048655A" w:rsidRPr="00BA2A7E" w:rsidRDefault="00BA2A7E" w:rsidP="0048655A">
            <w:pPr>
              <w:spacing w:line="259" w:lineRule="auto"/>
              <w:rPr>
                <w:b/>
                <w:bCs/>
              </w:rPr>
            </w:pPr>
            <w:r>
              <w:rPr>
                <w:b/>
                <w:bCs/>
              </w:rPr>
              <w:t xml:space="preserve">Considering the new HEDIS measure benchmarking cardiac care by completion of CR for eligible patients, KPNC outcomes support the use of home-based CR. </w:t>
            </w:r>
            <w:r w:rsidRPr="00BA2A7E">
              <w:t>In a post-COVID world, a growing proportion of patients face increased socioeconomic barriers to completing cardiac rehabilitatio</w:t>
            </w:r>
            <w:r>
              <w:t>n</w:t>
            </w:r>
            <w:r w:rsidRPr="00BA2A7E">
              <w:t xml:space="preserve">. </w:t>
            </w:r>
            <w:r w:rsidR="00E012D5">
              <w:t>H</w:t>
            </w:r>
            <w:r w:rsidRPr="00BA2A7E">
              <w:t xml:space="preserve">ome-based virtual CR </w:t>
            </w:r>
            <w:r w:rsidR="00E012D5">
              <w:t xml:space="preserve">has not only </w:t>
            </w:r>
            <w:r w:rsidRPr="00BA2A7E">
              <w:t>been shown to be cost-effective, safe, and successful, but also may represent a key strategy to broadly increase patient access to such lifesaving recovery care</w:t>
            </w:r>
            <w:r w:rsidR="00E012D5">
              <w:t>.</w:t>
            </w:r>
          </w:p>
        </w:tc>
      </w:tr>
      <w:tr w:rsidR="0048655A" w:rsidRPr="008A7C90" w14:paraId="21F6FB6D" w14:textId="77777777" w:rsidTr="00E012D5">
        <w:trPr>
          <w:trHeight w:val="353"/>
        </w:trPr>
        <w:tc>
          <w:tcPr>
            <w:tcW w:w="2198" w:type="dxa"/>
          </w:tcPr>
          <w:p w14:paraId="511F380C" w14:textId="583037FD" w:rsidR="0048655A" w:rsidRPr="008A7C90" w:rsidRDefault="0048655A" w:rsidP="0048655A">
            <w:pPr>
              <w:spacing w:line="259" w:lineRule="auto"/>
            </w:pPr>
            <w:r w:rsidRPr="008A7C90">
              <w:t>Implementation</w:t>
            </w:r>
            <w:r w:rsidR="00BA2A7E">
              <w:t xml:space="preserve"> </w:t>
            </w:r>
            <w:r w:rsidRPr="008A7C90">
              <w:t>Tools</w:t>
            </w:r>
          </w:p>
        </w:tc>
        <w:tc>
          <w:tcPr>
            <w:tcW w:w="8597" w:type="dxa"/>
          </w:tcPr>
          <w:p w14:paraId="35B5FEA6" w14:textId="1B28155F" w:rsidR="0048655A" w:rsidRPr="008A7C90" w:rsidRDefault="00BA2A7E" w:rsidP="0048655A">
            <w:pPr>
              <w:spacing w:line="259" w:lineRule="auto"/>
            </w:pPr>
            <w:r>
              <w:t xml:space="preserve">Screening mechanisms to identify </w:t>
            </w:r>
            <w:proofErr w:type="spellStart"/>
            <w:r>
              <w:t>attrited</w:t>
            </w:r>
            <w:proofErr w:type="spellEnd"/>
            <w:r>
              <w:t xml:space="preserve"> patients, resources to incentivize completion of CR</w:t>
            </w:r>
          </w:p>
        </w:tc>
      </w:tr>
      <w:tr w:rsidR="0048655A" w:rsidRPr="008A7C90" w14:paraId="02D4678D" w14:textId="77777777" w:rsidTr="00E012D5">
        <w:trPr>
          <w:trHeight w:val="552"/>
        </w:trPr>
        <w:tc>
          <w:tcPr>
            <w:tcW w:w="2198" w:type="dxa"/>
          </w:tcPr>
          <w:p w14:paraId="1B184543" w14:textId="77777777" w:rsidR="0048655A" w:rsidRPr="008A7C90" w:rsidRDefault="0048655A" w:rsidP="0048655A">
            <w:pPr>
              <w:spacing w:line="259" w:lineRule="auto"/>
            </w:pPr>
            <w:r w:rsidRPr="008A7C90">
              <w:t>Implementation Measurement</w:t>
            </w:r>
          </w:p>
        </w:tc>
        <w:tc>
          <w:tcPr>
            <w:tcW w:w="8597" w:type="dxa"/>
          </w:tcPr>
          <w:p w14:paraId="0D25EBD1" w14:textId="6CFB2845" w:rsidR="0048655A" w:rsidRPr="008A7C90" w:rsidRDefault="00BA2A7E" w:rsidP="0048655A">
            <w:pPr>
              <w:spacing w:line="259" w:lineRule="auto"/>
            </w:pPr>
            <w:r>
              <w:t>Enrollment and completion of CR</w:t>
            </w:r>
          </w:p>
        </w:tc>
      </w:tr>
      <w:tr w:rsidR="0048655A" w:rsidRPr="008A7C90" w14:paraId="66558595" w14:textId="77777777" w:rsidTr="00E012D5">
        <w:trPr>
          <w:trHeight w:val="538"/>
        </w:trPr>
        <w:tc>
          <w:tcPr>
            <w:tcW w:w="2198" w:type="dxa"/>
          </w:tcPr>
          <w:p w14:paraId="29954FA9" w14:textId="77777777" w:rsidR="0048655A" w:rsidRPr="008A7C90" w:rsidRDefault="0048655A" w:rsidP="0048655A">
            <w:pPr>
              <w:spacing w:line="259" w:lineRule="auto"/>
            </w:pPr>
            <w:r w:rsidRPr="008A7C90">
              <w:t>Reference</w:t>
            </w:r>
          </w:p>
        </w:tc>
        <w:tc>
          <w:tcPr>
            <w:tcW w:w="8597" w:type="dxa"/>
          </w:tcPr>
          <w:p w14:paraId="722DE921" w14:textId="3AA03643" w:rsidR="0048655A" w:rsidRPr="008A7C90" w:rsidRDefault="00E012D5" w:rsidP="0048655A">
            <w:pPr>
              <w:spacing w:line="259" w:lineRule="auto"/>
            </w:pPr>
            <w:r>
              <w:t>D</w:t>
            </w:r>
            <w:r w:rsidR="0048655A" w:rsidRPr="008A7C90">
              <w:t xml:space="preserve">oi: </w:t>
            </w:r>
            <w:r w:rsidR="00EF5DB0">
              <w:t>T</w:t>
            </w:r>
            <w:r>
              <w:t>o be published</w:t>
            </w:r>
          </w:p>
        </w:tc>
      </w:tr>
      <w:bookmarkEnd w:id="0"/>
    </w:tbl>
    <w:p w14:paraId="62800767" w14:textId="7B2A52E0" w:rsidR="00E012D5" w:rsidRDefault="00E012D5" w:rsidP="00C73A94">
      <w:pPr>
        <w:spacing w:after="0"/>
      </w:pPr>
    </w:p>
    <w:p w14:paraId="21BA574F" w14:textId="77777777" w:rsidR="00E012D5" w:rsidRDefault="00E012D5">
      <w:r>
        <w:br w:type="page"/>
      </w:r>
    </w:p>
    <w:p w14:paraId="5A60A267" w14:textId="37BFD32C" w:rsidR="00E012D5" w:rsidRDefault="00E012D5" w:rsidP="00C73A94">
      <w:pPr>
        <w:spacing w:after="0"/>
      </w:pPr>
      <w:r w:rsidRPr="00E012D5">
        <w:rPr>
          <w:b/>
          <w:bCs/>
        </w:rPr>
        <w:lastRenderedPageBreak/>
        <w:t xml:space="preserve">Figure 1. </w:t>
      </w:r>
      <w:r>
        <w:t>Adjusted Associations between Cardiac Rehabilitation Exposure and Study Outcomes</w:t>
      </w:r>
    </w:p>
    <w:p w14:paraId="3201691D" w14:textId="7DA91391" w:rsidR="00FE6194" w:rsidRDefault="00E012D5" w:rsidP="00C73A94">
      <w:pPr>
        <w:spacing w:after="0"/>
      </w:pPr>
      <w:r>
        <w:rPr>
          <w:noProof/>
        </w:rPr>
        <w:drawing>
          <wp:inline distT="0" distB="0" distL="0" distR="0" wp14:anchorId="1086E40E" wp14:editId="2119C320">
            <wp:extent cx="6743700" cy="4600325"/>
            <wp:effectExtent l="0" t="0" r="0" b="0"/>
            <wp:docPr id="815870299" name="Picture 1" descr="A graph with black lin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70299" name="Picture 1" descr="A graph with black lines and white text&#10;&#10;AI-generated content may be incorrect."/>
                    <pic:cNvPicPr/>
                  </pic:nvPicPr>
                  <pic:blipFill>
                    <a:blip r:embed="rId7"/>
                    <a:stretch>
                      <a:fillRect/>
                    </a:stretch>
                  </pic:blipFill>
                  <pic:spPr>
                    <a:xfrm>
                      <a:off x="0" y="0"/>
                      <a:ext cx="6804218" cy="4641608"/>
                    </a:xfrm>
                    <a:prstGeom prst="rect">
                      <a:avLst/>
                    </a:prstGeom>
                  </pic:spPr>
                </pic:pic>
              </a:graphicData>
            </a:graphic>
          </wp:inline>
        </w:drawing>
      </w:r>
    </w:p>
    <w:p w14:paraId="0AB5DB41" w14:textId="77777777" w:rsidR="00E012D5" w:rsidRDefault="00E012D5" w:rsidP="00C73A94">
      <w:pPr>
        <w:spacing w:after="0"/>
      </w:pPr>
    </w:p>
    <w:sectPr w:rsidR="00E012D5" w:rsidSect="00D245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90"/>
    <w:rsid w:val="000811DB"/>
    <w:rsid w:val="000E6B94"/>
    <w:rsid w:val="000F1F16"/>
    <w:rsid w:val="00117444"/>
    <w:rsid w:val="001D52BB"/>
    <w:rsid w:val="001E348B"/>
    <w:rsid w:val="00246A4F"/>
    <w:rsid w:val="002A1A00"/>
    <w:rsid w:val="002C038B"/>
    <w:rsid w:val="002E0BAD"/>
    <w:rsid w:val="00306468"/>
    <w:rsid w:val="0031051B"/>
    <w:rsid w:val="003B138E"/>
    <w:rsid w:val="003D755D"/>
    <w:rsid w:val="003E27D1"/>
    <w:rsid w:val="003E34C5"/>
    <w:rsid w:val="00481FDC"/>
    <w:rsid w:val="0048655A"/>
    <w:rsid w:val="00514319"/>
    <w:rsid w:val="00580CD7"/>
    <w:rsid w:val="005A610F"/>
    <w:rsid w:val="00603A6B"/>
    <w:rsid w:val="00671AA8"/>
    <w:rsid w:val="006D32D2"/>
    <w:rsid w:val="0072563B"/>
    <w:rsid w:val="00777238"/>
    <w:rsid w:val="008026F1"/>
    <w:rsid w:val="008131C8"/>
    <w:rsid w:val="008A7C90"/>
    <w:rsid w:val="009001F2"/>
    <w:rsid w:val="00933309"/>
    <w:rsid w:val="00A16BB1"/>
    <w:rsid w:val="00A44E70"/>
    <w:rsid w:val="00AF745E"/>
    <w:rsid w:val="00BA2A7E"/>
    <w:rsid w:val="00C3487D"/>
    <w:rsid w:val="00C4025A"/>
    <w:rsid w:val="00C73A94"/>
    <w:rsid w:val="00C92FD8"/>
    <w:rsid w:val="00CB0455"/>
    <w:rsid w:val="00CF40A8"/>
    <w:rsid w:val="00CF4301"/>
    <w:rsid w:val="00D003F1"/>
    <w:rsid w:val="00D24534"/>
    <w:rsid w:val="00D3727A"/>
    <w:rsid w:val="00DD0743"/>
    <w:rsid w:val="00E012D5"/>
    <w:rsid w:val="00E348B6"/>
    <w:rsid w:val="00E665FD"/>
    <w:rsid w:val="00EB0401"/>
    <w:rsid w:val="00EF5DB0"/>
    <w:rsid w:val="00EF635D"/>
    <w:rsid w:val="00EF665D"/>
    <w:rsid w:val="00FE6194"/>
    <w:rsid w:val="0B4BE6C0"/>
    <w:rsid w:val="1A557A28"/>
    <w:rsid w:val="30BD5087"/>
    <w:rsid w:val="4E55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87FD"/>
  <w15:chartTrackingRefBased/>
  <w15:docId w15:val="{9FC22822-AC04-437A-95FB-02AB6792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90"/>
  </w:style>
  <w:style w:type="paragraph" w:styleId="Heading1">
    <w:name w:val="heading 1"/>
    <w:basedOn w:val="Normal"/>
    <w:next w:val="Normal"/>
    <w:link w:val="Heading1Char"/>
    <w:uiPriority w:val="9"/>
    <w:qFormat/>
    <w:rsid w:val="008A7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9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A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C90"/>
    <w:rPr>
      <w:color w:val="0563C1" w:themeColor="hyperlink"/>
      <w:u w:val="single"/>
    </w:rPr>
  </w:style>
  <w:style w:type="character" w:styleId="UnresolvedMention">
    <w:name w:val="Unresolved Mention"/>
    <w:basedOn w:val="DefaultParagraphFont"/>
    <w:uiPriority w:val="99"/>
    <w:semiHidden/>
    <w:unhideWhenUsed/>
    <w:rsid w:val="008A7C90"/>
    <w:rPr>
      <w:color w:val="605E5C"/>
      <w:shd w:val="clear" w:color="auto" w:fill="E1DFDD"/>
    </w:rPr>
  </w:style>
  <w:style w:type="character" w:styleId="CommentReference">
    <w:name w:val="annotation reference"/>
    <w:basedOn w:val="DefaultParagraphFont"/>
    <w:uiPriority w:val="99"/>
    <w:semiHidden/>
    <w:unhideWhenUsed/>
    <w:rsid w:val="00D3727A"/>
    <w:rPr>
      <w:sz w:val="16"/>
      <w:szCs w:val="16"/>
    </w:rPr>
  </w:style>
  <w:style w:type="paragraph" w:styleId="CommentText">
    <w:name w:val="annotation text"/>
    <w:basedOn w:val="Normal"/>
    <w:link w:val="CommentTextChar"/>
    <w:uiPriority w:val="99"/>
    <w:unhideWhenUsed/>
    <w:rsid w:val="00D3727A"/>
    <w:pPr>
      <w:spacing w:line="240" w:lineRule="auto"/>
    </w:pPr>
    <w:rPr>
      <w:sz w:val="20"/>
      <w:szCs w:val="20"/>
    </w:rPr>
  </w:style>
  <w:style w:type="character" w:customStyle="1" w:styleId="CommentTextChar">
    <w:name w:val="Comment Text Char"/>
    <w:basedOn w:val="DefaultParagraphFont"/>
    <w:link w:val="CommentText"/>
    <w:uiPriority w:val="99"/>
    <w:rsid w:val="00D3727A"/>
    <w:rPr>
      <w:sz w:val="20"/>
      <w:szCs w:val="20"/>
    </w:rPr>
  </w:style>
  <w:style w:type="paragraph" w:styleId="CommentSubject">
    <w:name w:val="annotation subject"/>
    <w:basedOn w:val="CommentText"/>
    <w:next w:val="CommentText"/>
    <w:link w:val="CommentSubjectChar"/>
    <w:uiPriority w:val="99"/>
    <w:semiHidden/>
    <w:unhideWhenUsed/>
    <w:rsid w:val="00D3727A"/>
    <w:rPr>
      <w:b/>
      <w:bCs/>
    </w:rPr>
  </w:style>
  <w:style w:type="character" w:customStyle="1" w:styleId="CommentSubjectChar">
    <w:name w:val="Comment Subject Char"/>
    <w:basedOn w:val="CommentTextChar"/>
    <w:link w:val="CommentSubject"/>
    <w:uiPriority w:val="99"/>
    <w:semiHidden/>
    <w:rsid w:val="00D372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647ec-f617-4999-8032-1f453e4c2fb5" xsi:nil="true"/>
    <lcf76f155ced4ddcb4097134ff3c332f xmlns="04c69e7e-30dd-4fc4-b8bc-afeef48eb0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212CF887CC049AE0A16A900E750E9" ma:contentTypeVersion="16" ma:contentTypeDescription="Create a new document." ma:contentTypeScope="" ma:versionID="e7820897ed7d53f990ce26ff01c613e4">
  <xsd:schema xmlns:xsd="http://www.w3.org/2001/XMLSchema" xmlns:xs="http://www.w3.org/2001/XMLSchema" xmlns:p="http://schemas.microsoft.com/office/2006/metadata/properties" xmlns:ns2="04c69e7e-30dd-4fc4-b8bc-afeef48eb057" xmlns:ns3="537647ec-f617-4999-8032-1f453e4c2fb5" targetNamespace="http://schemas.microsoft.com/office/2006/metadata/properties" ma:root="true" ma:fieldsID="f03f827e0e1195eccbc7c3aeef81d122" ns2:_="" ns3:_="">
    <xsd:import namespace="04c69e7e-30dd-4fc4-b8bc-afeef48eb057"/>
    <xsd:import namespace="537647ec-f617-4999-8032-1f453e4c2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69e7e-30dd-4fc4-b8bc-afeef48eb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647ec-f617-4999-8032-1f453e4c2f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ff0bba-50f5-4c0b-b1c3-5fd5d8475422}" ma:internalName="TaxCatchAll" ma:showField="CatchAllData" ma:web="537647ec-f617-4999-8032-1f453e4c2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88A28-5B10-48BE-B8D6-480C75C53C84}">
  <ds:schemaRefs>
    <ds:schemaRef ds:uri="http://schemas.microsoft.com/office/2006/metadata/properties"/>
    <ds:schemaRef ds:uri="http://schemas.microsoft.com/office/infopath/2007/PartnerControls"/>
    <ds:schemaRef ds:uri="537647ec-f617-4999-8032-1f453e4c2fb5"/>
    <ds:schemaRef ds:uri="04c69e7e-30dd-4fc4-b8bc-afeef48eb057"/>
  </ds:schemaRefs>
</ds:datastoreItem>
</file>

<file path=customXml/itemProps2.xml><?xml version="1.0" encoding="utf-8"?>
<ds:datastoreItem xmlns:ds="http://schemas.openxmlformats.org/officeDocument/2006/customXml" ds:itemID="{422B8E45-4B7B-44CA-883D-6EABF409C33D}">
  <ds:schemaRefs>
    <ds:schemaRef ds:uri="http://schemas.microsoft.com/sharepoint/v3/contenttype/forms"/>
  </ds:schemaRefs>
</ds:datastoreItem>
</file>

<file path=customXml/itemProps3.xml><?xml version="1.0" encoding="utf-8"?>
<ds:datastoreItem xmlns:ds="http://schemas.openxmlformats.org/officeDocument/2006/customXml" ds:itemID="{BE0F698D-AE8D-4480-ACDE-8B0DA1BBD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69e7e-30dd-4fc4-b8bc-afeef48eb057"/>
    <ds:schemaRef ds:uri="537647ec-f617-4999-8032-1f453e4c2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2267</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E Parker</dc:creator>
  <cp:keywords/>
  <dc:description/>
  <cp:lastModifiedBy>Natalie Au</cp:lastModifiedBy>
  <cp:revision>2</cp:revision>
  <dcterms:created xsi:type="dcterms:W3CDTF">2025-11-06T00:18:00Z</dcterms:created>
  <dcterms:modified xsi:type="dcterms:W3CDTF">2025-11-06T00:18:00Z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0x0101005E2212CF887CC049AE0A16A900E750E9</vt:lpwstr>
  </property>
  <property fmtid="{D5CDD505-2E9C-101B-9397-08002B2CF9AE}" pid="3" name="MediaServiceImageTags">
    <vt:lpwstr/>
  </property>
</Properties>
</file>