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44B74" w14:textId="77777777" w:rsidR="00601D55" w:rsidRPr="00601D55" w:rsidRDefault="00245565" w:rsidP="00601D55">
      <w:pPr>
        <w:rPr>
          <w:rFonts w:eastAsia="Calibri" w:cstheme="minorHAnsi"/>
          <w:b/>
          <w:bCs/>
          <w:sz w:val="20"/>
          <w:szCs w:val="20"/>
        </w:rPr>
      </w:pPr>
      <w:r w:rsidRPr="00601D55">
        <w:rPr>
          <w:rFonts w:eastAsia="Calibri" w:cstheme="minorHAnsi"/>
          <w:b/>
          <w:bCs/>
          <w:sz w:val="20"/>
          <w:szCs w:val="20"/>
        </w:rPr>
        <w:t xml:space="preserve">Delivery Science Grants </w:t>
      </w:r>
      <w:r w:rsidR="00601D55" w:rsidRPr="00601D55">
        <w:rPr>
          <w:rFonts w:eastAsia="Calibri" w:cstheme="minorHAnsi"/>
          <w:b/>
          <w:bCs/>
          <w:sz w:val="20"/>
          <w:szCs w:val="20"/>
        </w:rPr>
        <w:t>Program</w:t>
      </w:r>
    </w:p>
    <w:p w14:paraId="2541BA98" w14:textId="77777777" w:rsidR="00601D55" w:rsidRPr="00601D55" w:rsidRDefault="00601D55" w:rsidP="00601D55">
      <w:pPr>
        <w:rPr>
          <w:rFonts w:cstheme="minorHAnsi"/>
          <w:color w:val="4472C4" w:themeColor="accent1"/>
          <w:sz w:val="20"/>
          <w:szCs w:val="20"/>
        </w:rPr>
      </w:pPr>
      <w:r w:rsidRPr="00601D55">
        <w:rPr>
          <w:rFonts w:cstheme="minorHAnsi"/>
          <w:color w:val="4472C4" w:themeColor="accent1"/>
          <w:sz w:val="20"/>
          <w:szCs w:val="20"/>
        </w:rPr>
        <w:t xml:space="preserve"> Implementation</w:t>
      </w:r>
      <w:r w:rsidR="001A6604" w:rsidRPr="00601D55">
        <w:rPr>
          <w:rFonts w:cstheme="minorHAnsi"/>
          <w:color w:val="4472C4" w:themeColor="accent1"/>
          <w:sz w:val="20"/>
          <w:szCs w:val="20"/>
        </w:rPr>
        <w:t xml:space="preserve"> of Tenect</w:t>
      </w:r>
      <w:r w:rsidR="00077DBD" w:rsidRPr="00601D55">
        <w:rPr>
          <w:rFonts w:cstheme="minorHAnsi"/>
          <w:color w:val="4472C4" w:themeColor="accent1"/>
          <w:sz w:val="20"/>
          <w:szCs w:val="20"/>
        </w:rPr>
        <w:t>eplase Beyond 4.5-hour in a Large Community-based Cohort Study)</w:t>
      </w:r>
    </w:p>
    <w:p w14:paraId="3ACE6DE9" w14:textId="5BDF6C11" w:rsidR="00BA2786" w:rsidRPr="00601D55" w:rsidRDefault="009907A5" w:rsidP="00601D55">
      <w:pPr>
        <w:rPr>
          <w:rFonts w:eastAsia="Calibri" w:cstheme="minorHAnsi"/>
          <w:b/>
          <w:bCs/>
          <w:sz w:val="20"/>
          <w:szCs w:val="20"/>
        </w:rPr>
      </w:pPr>
      <w:r w:rsidRPr="00601D55">
        <w:rPr>
          <w:rFonts w:cstheme="minorHAnsi"/>
          <w:b/>
          <w:bCs/>
          <w:sz w:val="20"/>
          <w:szCs w:val="20"/>
        </w:rPr>
        <w:t>Principal Investigator</w:t>
      </w:r>
      <w:proofErr w:type="gramStart"/>
      <w:r w:rsidRPr="00601D55">
        <w:rPr>
          <w:rFonts w:cstheme="minorHAnsi"/>
          <w:sz w:val="20"/>
          <w:szCs w:val="20"/>
        </w:rPr>
        <w:t>:  Mai</w:t>
      </w:r>
      <w:proofErr w:type="gramEnd"/>
      <w:r w:rsidRPr="00601D55">
        <w:rPr>
          <w:rFonts w:cstheme="minorHAnsi"/>
          <w:sz w:val="20"/>
          <w:szCs w:val="20"/>
        </w:rPr>
        <w:t xml:space="preserve"> N. Nguyen-Huynh, MD MAS </w:t>
      </w:r>
      <w:r w:rsidRPr="00601D55">
        <w:rPr>
          <w:rFonts w:cstheme="minorHAnsi"/>
          <w:b/>
          <w:bCs/>
          <w:sz w:val="20"/>
          <w:szCs w:val="20"/>
        </w:rPr>
        <w:t>Co-investigators</w:t>
      </w:r>
      <w:r w:rsidRPr="00601D55">
        <w:rPr>
          <w:rFonts w:cstheme="minorHAnsi"/>
          <w:sz w:val="20"/>
          <w:szCs w:val="20"/>
        </w:rPr>
        <w:t xml:space="preserve">: </w:t>
      </w:r>
      <w:r w:rsidR="00A83589" w:rsidRPr="00601D55">
        <w:rPr>
          <w:rFonts w:cstheme="minorHAnsi"/>
          <w:sz w:val="20"/>
          <w:szCs w:val="20"/>
        </w:rPr>
        <w:t xml:space="preserve">Jeffrey Klingman MD; </w:t>
      </w:r>
      <w:r w:rsidRPr="00601D55">
        <w:rPr>
          <w:rFonts w:cstheme="minorHAnsi"/>
          <w:sz w:val="20"/>
          <w:szCs w:val="20"/>
        </w:rPr>
        <w:t xml:space="preserve">David Vinson MD; Anne C Kim MD; Molly Burnett MD; Sheila Chan </w:t>
      </w:r>
      <w:proofErr w:type="spellStart"/>
      <w:proofErr w:type="gramStart"/>
      <w:r w:rsidRPr="00601D55">
        <w:rPr>
          <w:rFonts w:cstheme="minorHAnsi"/>
          <w:sz w:val="20"/>
          <w:szCs w:val="20"/>
        </w:rPr>
        <w:t>MD;Patricia</w:t>
      </w:r>
      <w:proofErr w:type="spellEnd"/>
      <w:proofErr w:type="gramEnd"/>
      <w:r w:rsidRPr="00601D55">
        <w:rPr>
          <w:rFonts w:cstheme="minorHAnsi"/>
          <w:sz w:val="20"/>
          <w:szCs w:val="20"/>
        </w:rPr>
        <w:t xml:space="preserve"> Zrelak PhD RN; Catherine Lee PhD; Joeffrey R. Hatton, MBA; Hemali Sudhalkar, MD</w:t>
      </w:r>
    </w:p>
    <w:p w14:paraId="7D76C285" w14:textId="5916C9DF" w:rsidR="00BA2786" w:rsidRPr="00601D55" w:rsidRDefault="00BA2786" w:rsidP="00D24534">
      <w:pPr>
        <w:spacing w:after="0"/>
        <w:rPr>
          <w:rFonts w:cstheme="minorHAnsi"/>
          <w:sz w:val="20"/>
          <w:szCs w:val="20"/>
        </w:rPr>
      </w:pPr>
      <w:r w:rsidRPr="00601D55">
        <w:rPr>
          <w:rFonts w:cstheme="minorHAnsi"/>
          <w:sz w:val="20"/>
          <w:szCs w:val="20"/>
        </w:rPr>
        <w:t>Project start and end dates:</w:t>
      </w:r>
      <w:r w:rsidR="009907A5" w:rsidRPr="00601D55">
        <w:rPr>
          <w:rFonts w:cstheme="minorHAnsi"/>
          <w:sz w:val="20"/>
          <w:szCs w:val="20"/>
        </w:rPr>
        <w:t xml:space="preserve"> 7/1/23 – 6/30/25</w:t>
      </w:r>
    </w:p>
    <w:tbl>
      <w:tblPr>
        <w:tblStyle w:val="TableGrid"/>
        <w:tblpPr w:leftFromText="180" w:rightFromText="180" w:vertAnchor="page" w:horzAnchor="margin" w:tblpY="2581"/>
        <w:tblW w:w="10790" w:type="dxa"/>
        <w:tblLook w:val="04A0" w:firstRow="1" w:lastRow="0" w:firstColumn="1" w:lastColumn="0" w:noHBand="0" w:noVBand="1"/>
      </w:tblPr>
      <w:tblGrid>
        <w:gridCol w:w="1651"/>
        <w:gridCol w:w="9139"/>
      </w:tblGrid>
      <w:tr w:rsidR="008E6D2C" w:rsidRPr="00601D55" w14:paraId="307289BF" w14:textId="77777777" w:rsidTr="00FA1E75">
        <w:trPr>
          <w:trHeight w:val="816"/>
        </w:trPr>
        <w:tc>
          <w:tcPr>
            <w:tcW w:w="1651" w:type="dxa"/>
          </w:tcPr>
          <w:p w14:paraId="2C7E2D09" w14:textId="77777777" w:rsidR="0048655A" w:rsidRPr="00601D55" w:rsidRDefault="0048655A" w:rsidP="0048655A">
            <w:pPr>
              <w:spacing w:line="259" w:lineRule="auto"/>
              <w:rPr>
                <w:rFonts w:cstheme="minorHAnsi"/>
                <w:sz w:val="20"/>
                <w:szCs w:val="20"/>
              </w:rPr>
            </w:pPr>
            <w:bookmarkStart w:id="0" w:name="_Hlk54105970"/>
            <w:r w:rsidRPr="00601D55">
              <w:rPr>
                <w:rFonts w:cstheme="minorHAnsi"/>
                <w:sz w:val="20"/>
                <w:szCs w:val="20"/>
              </w:rPr>
              <w:t>Challenge</w:t>
            </w:r>
          </w:p>
        </w:tc>
        <w:tc>
          <w:tcPr>
            <w:tcW w:w="9139" w:type="dxa"/>
          </w:tcPr>
          <w:p w14:paraId="7F9273D4" w14:textId="2ADB20A9" w:rsidR="0048655A" w:rsidRPr="00601D55" w:rsidRDefault="00454114" w:rsidP="00454114">
            <w:pPr>
              <w:tabs>
                <w:tab w:val="left" w:pos="1065"/>
              </w:tabs>
              <w:spacing w:line="259" w:lineRule="auto"/>
              <w:rPr>
                <w:rFonts w:cstheme="minorHAnsi"/>
                <w:b/>
                <w:bCs/>
                <w:sz w:val="20"/>
                <w:szCs w:val="20"/>
              </w:rPr>
            </w:pPr>
            <w:r w:rsidRPr="00601D55">
              <w:rPr>
                <w:rFonts w:eastAsia="Arial,Arial,Arial,Times New Rom" w:cstheme="minorHAnsi"/>
                <w:color w:val="000000" w:themeColor="text1"/>
                <w:sz w:val="20"/>
                <w:szCs w:val="20"/>
              </w:rPr>
              <w:t>In a real-world practice setting, what are the effects on stroke care processes and clinical outcomes when IV tenecteplase (TNKase) is used to treat patients with potential acute ischemic stroke presenting with wake-up stroke or within 4.5 to 9 hours from last known well?</w:t>
            </w:r>
          </w:p>
        </w:tc>
      </w:tr>
      <w:tr w:rsidR="008E6D2C" w:rsidRPr="00601D55" w14:paraId="67D435C8" w14:textId="77777777" w:rsidTr="00FA1E75">
        <w:trPr>
          <w:trHeight w:val="1091"/>
        </w:trPr>
        <w:tc>
          <w:tcPr>
            <w:tcW w:w="1651" w:type="dxa"/>
          </w:tcPr>
          <w:p w14:paraId="351B366F" w14:textId="77777777" w:rsidR="0048655A" w:rsidRPr="00601D55" w:rsidRDefault="0048655A" w:rsidP="0048655A">
            <w:pPr>
              <w:spacing w:line="259" w:lineRule="auto"/>
              <w:rPr>
                <w:rFonts w:cstheme="minorHAnsi"/>
                <w:sz w:val="20"/>
                <w:szCs w:val="20"/>
              </w:rPr>
            </w:pPr>
            <w:r w:rsidRPr="00601D55">
              <w:rPr>
                <w:rFonts w:cstheme="minorHAnsi"/>
                <w:sz w:val="20"/>
                <w:szCs w:val="20"/>
              </w:rPr>
              <w:t>Existing Evidence</w:t>
            </w:r>
          </w:p>
        </w:tc>
        <w:tc>
          <w:tcPr>
            <w:tcW w:w="9139" w:type="dxa"/>
          </w:tcPr>
          <w:p w14:paraId="70041630" w14:textId="080673A1" w:rsidR="0048655A" w:rsidRPr="00601D55" w:rsidRDefault="001B5494" w:rsidP="0048655A">
            <w:pPr>
              <w:spacing w:line="259" w:lineRule="auto"/>
              <w:rPr>
                <w:rFonts w:cstheme="minorHAnsi"/>
                <w:sz w:val="20"/>
                <w:szCs w:val="20"/>
              </w:rPr>
            </w:pPr>
            <w:r w:rsidRPr="00601D55">
              <w:rPr>
                <w:rFonts w:cstheme="minorHAnsi"/>
                <w:sz w:val="20"/>
                <w:szCs w:val="20"/>
              </w:rPr>
              <w:t>The NINDS IV-TPA trial</w:t>
            </w:r>
            <w:r w:rsidRPr="00601D55">
              <w:rPr>
                <w:rFonts w:cstheme="minorHAnsi"/>
                <w:sz w:val="20"/>
                <w:szCs w:val="20"/>
              </w:rPr>
              <w:fldChar w:fldCharType="begin"/>
            </w:r>
            <w:r w:rsidRPr="00601D55">
              <w:rPr>
                <w:rFonts w:cstheme="minorHAnsi"/>
                <w:sz w:val="20"/>
                <w:szCs w:val="20"/>
              </w:rPr>
              <w:instrText xml:space="preserve"> ADDIN EN.CITE &lt;EndNote&gt;&lt;Cite&gt;&lt;Author&gt;National Institute of Neurological&lt;/Author&gt;&lt;Year&gt;1995&lt;/Year&gt;&lt;RecNum&gt;140&lt;/RecNum&gt;&lt;DisplayText&gt;&lt;style face="superscript"&gt;2&lt;/style&gt;&lt;/DisplayText&gt;&lt;record&gt;&lt;rec-number&gt;140&lt;/rec-number&gt;&lt;foreign-keys&gt;&lt;key app="EN" db-id="vfpd2sr2nwseeve2eabxsexlrxd299dfsdxd" timestamp="1672893581"&gt;140&lt;/key&gt;&lt;/foreign-keys&gt;&lt;ref-type name="Journal Article"&gt;17&lt;/ref-type&gt;&lt;contributors&gt;&lt;authors&gt;&lt;author&gt;National Institute of Neurological, Disorders&lt;/author&gt;&lt;author&gt;Stroke rt, P. A. Stroke Study Group&lt;/author&gt;&lt;/authors&gt;&lt;/contributors&gt;&lt;titles&gt;&lt;title&gt;Tissue plasminogen activator for acute ischemic stroke&lt;/title&gt;&lt;secondary-title&gt;N Engl J Med&lt;/secondary-title&gt;&lt;/titles&gt;&lt;periodical&gt;&lt;full-title&gt;N Engl J Med&lt;/full-title&gt;&lt;/periodical&gt;&lt;pages&gt;1581-7&lt;/pages&gt;&lt;volume&gt;333&lt;/volume&gt;&lt;number&gt;24&lt;/number&gt;&lt;keywords&gt;&lt;keyword&gt;Activities of Daily Living&lt;/keyword&gt;&lt;keyword&gt;Aged&lt;/keyword&gt;&lt;keyword&gt;Brain Ischemia/drug therapy&lt;/keyword&gt;&lt;keyword&gt;Cerebral Hemorrhage/chemically induced&lt;/keyword&gt;&lt;keyword&gt;Cerebrovascular Disorders/complications/*drug therapy/mortality&lt;/keyword&gt;&lt;keyword&gt;Disability Evaluation&lt;/keyword&gt;&lt;keyword&gt;Double-Blind Method&lt;/keyword&gt;&lt;keyword&gt;Drug Administration Schedule&lt;/keyword&gt;&lt;keyword&gt;Female&lt;/keyword&gt;&lt;keyword&gt;Humans&lt;/keyword&gt;&lt;keyword&gt;Infusions, Intravenous&lt;/keyword&gt;&lt;keyword&gt;Male&lt;/keyword&gt;&lt;keyword&gt;Middle Aged&lt;/keyword&gt;&lt;keyword&gt;Tissue Plasminogen Activator/adverse effects/*therapeutic use&lt;/keyword&gt;&lt;keyword&gt;Treatment Outcome&lt;/keyword&gt;&lt;/keywords&gt;&lt;dates&gt;&lt;year&gt;1995&lt;/year&gt;&lt;pub-dates&gt;&lt;date&gt;Dec 14&lt;/date&gt;&lt;/pub-dates&gt;&lt;/dates&gt;&lt;isbn&gt;0028-4793 (Print)&amp;#xD;0028-4793 (Linking)&lt;/isbn&gt;&lt;accession-num&gt;7477192&lt;/accession-num&gt;&lt;urls&gt;&lt;related-urls&gt;&lt;url&gt;https://www.ncbi.nlm.nih.gov/pubmed/7477192&lt;/url&gt;&lt;/related-urls&gt;&lt;/urls&gt;&lt;electronic-resource-num&gt;10.1056/NEJM199512143332401&lt;/electronic-resource-num&gt;&lt;remote-database-name&gt;Medline&lt;/remote-database-name&gt;&lt;remote-database-provider&gt;NLM&lt;/remote-database-provider&gt;&lt;/record&gt;&lt;/Cite&gt;&lt;/EndNote&gt;</w:instrText>
            </w:r>
            <w:r w:rsidRPr="00601D55">
              <w:rPr>
                <w:rFonts w:cstheme="minorHAnsi"/>
                <w:sz w:val="20"/>
                <w:szCs w:val="20"/>
              </w:rPr>
              <w:fldChar w:fldCharType="separate"/>
            </w:r>
            <w:r w:rsidRPr="00601D55">
              <w:rPr>
                <w:rFonts w:cstheme="minorHAnsi"/>
                <w:noProof/>
                <w:sz w:val="20"/>
                <w:szCs w:val="20"/>
                <w:vertAlign w:val="superscript"/>
              </w:rPr>
              <w:t>2</w:t>
            </w:r>
            <w:r w:rsidRPr="00601D55">
              <w:rPr>
                <w:rFonts w:cstheme="minorHAnsi"/>
                <w:sz w:val="20"/>
                <w:szCs w:val="20"/>
              </w:rPr>
              <w:fldChar w:fldCharType="end"/>
            </w:r>
            <w:r w:rsidRPr="00601D55">
              <w:rPr>
                <w:rFonts w:cstheme="minorHAnsi"/>
                <w:sz w:val="20"/>
                <w:szCs w:val="20"/>
              </w:rPr>
              <w:t xml:space="preserve"> first showed that IV alteplase was beneficial in select patients with AIS if given within 3 hours after symptom onset. Later trial data extended the window to 4.5 hours. </w:t>
            </w:r>
            <w:r w:rsidRPr="00601D55">
              <w:rPr>
                <w:rFonts w:eastAsia="Arial" w:cstheme="minorHAnsi"/>
                <w:b/>
                <w:bCs/>
                <w:i/>
                <w:iCs/>
                <w:sz w:val="20"/>
                <w:szCs w:val="20"/>
              </w:rPr>
              <w:t>Alteplase is the only FDA-approved IV thrombolytic treatment for AIS</w:t>
            </w:r>
            <w:r w:rsidRPr="00601D55">
              <w:rPr>
                <w:rFonts w:eastAsia="Arial" w:cstheme="minorHAnsi"/>
                <w:sz w:val="20"/>
                <w:szCs w:val="20"/>
              </w:rPr>
              <w:t xml:space="preserve">. </w:t>
            </w:r>
            <w:r w:rsidR="00151215" w:rsidRPr="00601D55">
              <w:rPr>
                <w:rFonts w:eastAsia="Arial" w:cstheme="minorHAnsi"/>
                <w:sz w:val="20"/>
                <w:szCs w:val="20"/>
              </w:rPr>
              <w:t xml:space="preserve">Since 2018, DEFUSE-3 and DAWN trials used advanced neuroimaging screening to identify qualifying patients with LVO in the extended window (6-24 hours) for endovascular therapy. But </w:t>
            </w:r>
            <w:proofErr w:type="gramStart"/>
            <w:r w:rsidR="00151215" w:rsidRPr="00601D55">
              <w:rPr>
                <w:rFonts w:eastAsia="Arial" w:cstheme="minorHAnsi"/>
                <w:sz w:val="20"/>
                <w:szCs w:val="20"/>
              </w:rPr>
              <w:t>the vast majority of</w:t>
            </w:r>
            <w:proofErr w:type="gramEnd"/>
            <w:r w:rsidR="00151215" w:rsidRPr="00601D55">
              <w:rPr>
                <w:rFonts w:eastAsia="Arial" w:cstheme="minorHAnsi"/>
                <w:sz w:val="20"/>
                <w:szCs w:val="20"/>
              </w:rPr>
              <w:t xml:space="preserve"> acute stroke patients have no LVO and therefore no acute treatment options if presenting &gt;4.5 hours. WAKE-UP trial used MRI brain findings to randomize patients with wake-up stroke to IV alteplase or placebo. The treatment group achieved better functional outcome </w:t>
            </w:r>
            <w:proofErr w:type="gramStart"/>
            <w:r w:rsidR="00151215" w:rsidRPr="00601D55">
              <w:rPr>
                <w:rFonts w:eastAsia="Arial" w:cstheme="minorHAnsi"/>
                <w:sz w:val="20"/>
                <w:szCs w:val="20"/>
              </w:rPr>
              <w:t>at</w:t>
            </w:r>
            <w:proofErr w:type="gramEnd"/>
            <w:r w:rsidR="00151215" w:rsidRPr="00601D55">
              <w:rPr>
                <w:rFonts w:eastAsia="Arial" w:cstheme="minorHAnsi"/>
                <w:sz w:val="20"/>
                <w:szCs w:val="20"/>
              </w:rPr>
              <w:t xml:space="preserve"> 90 days. There was a higher rate of </w:t>
            </w:r>
            <w:proofErr w:type="spellStart"/>
            <w:r w:rsidR="00151215" w:rsidRPr="00601D55">
              <w:rPr>
                <w:rFonts w:eastAsia="Arial" w:cstheme="minorHAnsi"/>
                <w:sz w:val="20"/>
                <w:szCs w:val="20"/>
              </w:rPr>
              <w:t>sICH</w:t>
            </w:r>
            <w:proofErr w:type="spellEnd"/>
            <w:r w:rsidR="00151215" w:rsidRPr="00601D55">
              <w:rPr>
                <w:rFonts w:eastAsia="Arial" w:cstheme="minorHAnsi"/>
                <w:sz w:val="20"/>
                <w:szCs w:val="20"/>
              </w:rPr>
              <w:t xml:space="preserve"> with alteplase, but it did not negate the benefit of treatment. A meta-analysis of 3 trials that screened patients presenting in 4.5-9 hours with MR/CT perfusion showed better functional outcome in those treated with IV alteplase. The 2019 AHA acute ischemic stroke guidelines included a new recommendation (Class IIa, B) that in patients who awake with stroke symptoms or have unclear time of onset &gt;4.5 hours, MRI to identify mismatch criteria can be useful in selecting those who may benefit from IV alteplase within 4.5 hours of stroke symptom recognition. The 2021 European Stroke Organization guidelines recommend that patients presenting as wake-up stroke or in the 4.5- to 9-hour window from LKW time who meet advanced neuroimaging criteria with either MRI or CT perfusion be considered for IV alteplase. TNKase for AIS has been evaluated in several clinical trials to date (within 4.5 hours from LKW and in those with LVO in the extended window) and has generally been determined non-inferior to the FDA-approved stroke thrombolytic alteplase. However, to date, there has been only one report of its use in a community setting, and no reports of TNKase usage in patients presenting as wake-up stroke or in the 4.5- to 9-hour window from LKW.</w:t>
            </w:r>
          </w:p>
        </w:tc>
      </w:tr>
      <w:tr w:rsidR="008E6D2C" w:rsidRPr="00601D55" w14:paraId="136E6453" w14:textId="77777777" w:rsidTr="00FA1E75">
        <w:trPr>
          <w:trHeight w:val="262"/>
        </w:trPr>
        <w:tc>
          <w:tcPr>
            <w:tcW w:w="1651" w:type="dxa"/>
          </w:tcPr>
          <w:p w14:paraId="53202DB8" w14:textId="77777777" w:rsidR="0048655A" w:rsidRPr="00601D55" w:rsidRDefault="0048655A" w:rsidP="0048655A">
            <w:pPr>
              <w:spacing w:line="259" w:lineRule="auto"/>
              <w:rPr>
                <w:rFonts w:cstheme="minorHAnsi"/>
                <w:sz w:val="20"/>
                <w:szCs w:val="20"/>
              </w:rPr>
            </w:pPr>
            <w:r w:rsidRPr="00601D55">
              <w:rPr>
                <w:rFonts w:cstheme="minorHAnsi"/>
                <w:sz w:val="20"/>
                <w:szCs w:val="20"/>
              </w:rPr>
              <w:t>Target Population</w:t>
            </w:r>
          </w:p>
        </w:tc>
        <w:tc>
          <w:tcPr>
            <w:tcW w:w="9139" w:type="dxa"/>
          </w:tcPr>
          <w:p w14:paraId="1486D38C" w14:textId="5E403A54" w:rsidR="0048655A" w:rsidRPr="00601D55" w:rsidRDefault="00E5409F" w:rsidP="0048655A">
            <w:pPr>
              <w:spacing w:line="259" w:lineRule="auto"/>
              <w:rPr>
                <w:rFonts w:cstheme="minorHAnsi"/>
                <w:sz w:val="20"/>
                <w:szCs w:val="20"/>
              </w:rPr>
            </w:pPr>
            <w:r w:rsidRPr="00601D55">
              <w:rPr>
                <w:rFonts w:cstheme="minorHAnsi"/>
                <w:sz w:val="20"/>
                <w:szCs w:val="20"/>
              </w:rPr>
              <w:t>Acute ischemic stroke patients presenting as wake-up stroke or within 4.5 to 9 hours</w:t>
            </w:r>
            <w:r w:rsidR="008156CC" w:rsidRPr="00601D55">
              <w:rPr>
                <w:rFonts w:cstheme="minorHAnsi"/>
                <w:sz w:val="20"/>
                <w:szCs w:val="20"/>
              </w:rPr>
              <w:t xml:space="preserve"> from last known well.</w:t>
            </w:r>
          </w:p>
        </w:tc>
      </w:tr>
      <w:tr w:rsidR="008E6D2C" w:rsidRPr="00601D55" w14:paraId="5B80BED5" w14:textId="77777777" w:rsidTr="00FA1E75">
        <w:trPr>
          <w:trHeight w:val="276"/>
        </w:trPr>
        <w:tc>
          <w:tcPr>
            <w:tcW w:w="1651" w:type="dxa"/>
          </w:tcPr>
          <w:p w14:paraId="0D0B7C0D" w14:textId="77777777" w:rsidR="0048655A" w:rsidRPr="00601D55" w:rsidRDefault="0048655A" w:rsidP="0048655A">
            <w:pPr>
              <w:spacing w:line="259" w:lineRule="auto"/>
              <w:rPr>
                <w:rFonts w:cstheme="minorHAnsi"/>
                <w:sz w:val="20"/>
                <w:szCs w:val="20"/>
              </w:rPr>
            </w:pPr>
            <w:r w:rsidRPr="00601D55">
              <w:rPr>
                <w:rFonts w:cstheme="minorHAnsi"/>
                <w:sz w:val="20"/>
                <w:szCs w:val="20"/>
              </w:rPr>
              <w:t>Intervention or Exposure</w:t>
            </w:r>
          </w:p>
        </w:tc>
        <w:tc>
          <w:tcPr>
            <w:tcW w:w="9139" w:type="dxa"/>
          </w:tcPr>
          <w:p w14:paraId="0CA2C589" w14:textId="736011A9" w:rsidR="0048655A" w:rsidRPr="00601D55" w:rsidRDefault="00E5409F" w:rsidP="0048655A">
            <w:pPr>
              <w:spacing w:line="259" w:lineRule="auto"/>
              <w:rPr>
                <w:rFonts w:cstheme="minorHAnsi"/>
                <w:sz w:val="20"/>
                <w:szCs w:val="20"/>
              </w:rPr>
            </w:pPr>
            <w:r w:rsidRPr="00601D55">
              <w:rPr>
                <w:rFonts w:cstheme="minorHAnsi"/>
                <w:sz w:val="20"/>
                <w:szCs w:val="20"/>
              </w:rPr>
              <w:t xml:space="preserve">Treated with </w:t>
            </w:r>
            <w:r w:rsidR="008156CC" w:rsidRPr="00601D55">
              <w:rPr>
                <w:rFonts w:cstheme="minorHAnsi"/>
                <w:sz w:val="20"/>
                <w:szCs w:val="20"/>
              </w:rPr>
              <w:t>tenecteplase (TNKase)</w:t>
            </w:r>
            <w:r w:rsidRPr="00601D55">
              <w:rPr>
                <w:rFonts w:cstheme="minorHAnsi"/>
                <w:sz w:val="20"/>
                <w:szCs w:val="20"/>
              </w:rPr>
              <w:t xml:space="preserve"> using new workflow</w:t>
            </w:r>
          </w:p>
        </w:tc>
      </w:tr>
      <w:tr w:rsidR="008E6D2C" w:rsidRPr="00601D55" w14:paraId="13978FD3" w14:textId="77777777" w:rsidTr="00FA1E75">
        <w:trPr>
          <w:trHeight w:val="2282"/>
        </w:trPr>
        <w:tc>
          <w:tcPr>
            <w:tcW w:w="1651" w:type="dxa"/>
          </w:tcPr>
          <w:p w14:paraId="7525D5B4" w14:textId="77777777" w:rsidR="0048655A" w:rsidRPr="00601D55" w:rsidRDefault="0048655A" w:rsidP="0048655A">
            <w:pPr>
              <w:spacing w:line="259" w:lineRule="auto"/>
              <w:rPr>
                <w:rFonts w:cstheme="minorHAnsi"/>
                <w:b/>
                <w:bCs/>
                <w:sz w:val="20"/>
                <w:szCs w:val="20"/>
              </w:rPr>
            </w:pPr>
            <w:r w:rsidRPr="00601D55">
              <w:rPr>
                <w:rFonts w:cstheme="minorHAnsi"/>
                <w:b/>
                <w:bCs/>
                <w:sz w:val="20"/>
                <w:szCs w:val="20"/>
              </w:rPr>
              <w:t>Outcomes/Key Findings</w:t>
            </w:r>
          </w:p>
        </w:tc>
        <w:tc>
          <w:tcPr>
            <w:tcW w:w="9139" w:type="dxa"/>
          </w:tcPr>
          <w:p w14:paraId="6D9C1CF5" w14:textId="77777777" w:rsidR="00151215" w:rsidRPr="00601D55" w:rsidRDefault="00E5409F" w:rsidP="00151215">
            <w:pPr>
              <w:rPr>
                <w:rFonts w:cstheme="minorHAnsi"/>
                <w:b/>
                <w:sz w:val="20"/>
                <w:szCs w:val="20"/>
              </w:rPr>
            </w:pPr>
            <w:r w:rsidRPr="00601D55">
              <w:rPr>
                <w:rFonts w:cstheme="minorHAnsi"/>
                <w:b/>
                <w:sz w:val="20"/>
                <w:szCs w:val="20"/>
              </w:rPr>
              <w:t xml:space="preserve">Outcomes: </w:t>
            </w:r>
          </w:p>
          <w:p w14:paraId="3333F238" w14:textId="3F8BB499"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1: Primary outcomes: Proportion of eligible patients who were screened with CTP and/or MRI brain; proportion of screened patients who meet clinical criteria for IV TNKase.  This is a purely descriptive aim </w:t>
            </w:r>
            <w:proofErr w:type="gramStart"/>
            <w:r w:rsidRPr="00601D55">
              <w:rPr>
                <w:rFonts w:asciiTheme="minorHAnsi" w:hAnsiTheme="minorHAnsi" w:cstheme="minorHAnsi"/>
                <w:b/>
                <w:sz w:val="20"/>
                <w:szCs w:val="20"/>
              </w:rPr>
              <w:t>in order to</w:t>
            </w:r>
            <w:proofErr w:type="gramEnd"/>
            <w:r w:rsidRPr="00601D55">
              <w:rPr>
                <w:rFonts w:asciiTheme="minorHAnsi" w:hAnsiTheme="minorHAnsi" w:cstheme="minorHAnsi"/>
                <w:b/>
                <w:sz w:val="20"/>
                <w:szCs w:val="20"/>
              </w:rPr>
              <w:t xml:space="preserve"> allow us to finalize and implement the new screening workflow as shown in the diagram. </w:t>
            </w:r>
          </w:p>
          <w:p w14:paraId="6AE01EBD" w14:textId="79996107"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2: Primary outcomes: </w:t>
            </w:r>
            <w:proofErr w:type="spellStart"/>
            <w:r w:rsidRPr="00601D55">
              <w:rPr>
                <w:rFonts w:asciiTheme="minorHAnsi" w:hAnsiTheme="minorHAnsi" w:cstheme="minorHAnsi"/>
                <w:b/>
                <w:sz w:val="20"/>
                <w:szCs w:val="20"/>
              </w:rPr>
              <w:t>sICH</w:t>
            </w:r>
            <w:proofErr w:type="spellEnd"/>
            <w:r w:rsidRPr="00601D55">
              <w:rPr>
                <w:rFonts w:asciiTheme="minorHAnsi" w:hAnsiTheme="minorHAnsi" w:cstheme="minorHAnsi"/>
                <w:b/>
                <w:sz w:val="20"/>
                <w:szCs w:val="20"/>
              </w:rPr>
              <w:t xml:space="preserve"> rate as defined by SITS-MOST criteria. </w:t>
            </w:r>
          </w:p>
          <w:p w14:paraId="3308350B" w14:textId="77777777" w:rsidR="00151215" w:rsidRPr="00601D55" w:rsidRDefault="00151215" w:rsidP="00151215">
            <w:pPr>
              <w:pStyle w:val="ListParagraph"/>
              <w:numPr>
                <w:ilvl w:val="0"/>
                <w:numId w:val="7"/>
              </w:numPr>
              <w:rPr>
                <w:rFonts w:asciiTheme="minorHAnsi" w:hAnsiTheme="minorHAnsi" w:cstheme="minorHAnsi"/>
                <w:b/>
                <w:sz w:val="20"/>
                <w:szCs w:val="20"/>
              </w:rPr>
            </w:pPr>
            <w:r w:rsidRPr="00601D55">
              <w:rPr>
                <w:rFonts w:asciiTheme="minorHAnsi" w:hAnsiTheme="minorHAnsi" w:cstheme="minorHAnsi"/>
                <w:b/>
                <w:sz w:val="20"/>
                <w:szCs w:val="20"/>
              </w:rPr>
              <w:t xml:space="preserve">Aim 3: Primary outcome: 90-day mortality. </w:t>
            </w:r>
          </w:p>
          <w:p w14:paraId="5CE7AE8D" w14:textId="171C387C" w:rsidR="00151215" w:rsidRPr="00601D55" w:rsidRDefault="00151215" w:rsidP="00151215">
            <w:pPr>
              <w:pStyle w:val="ListParagraph"/>
              <w:numPr>
                <w:ilvl w:val="0"/>
                <w:numId w:val="7"/>
              </w:numPr>
              <w:jc w:val="right"/>
              <w:rPr>
                <w:rFonts w:asciiTheme="minorHAnsi" w:hAnsiTheme="minorHAnsi" w:cstheme="minorHAnsi"/>
                <w:b/>
                <w:sz w:val="20"/>
                <w:szCs w:val="20"/>
              </w:rPr>
            </w:pPr>
            <w:r w:rsidRPr="00601D55">
              <w:rPr>
                <w:rFonts w:asciiTheme="minorHAnsi" w:hAnsiTheme="minorHAnsi" w:cstheme="minorHAnsi"/>
                <w:b/>
                <w:sz w:val="20"/>
                <w:szCs w:val="20"/>
              </w:rPr>
              <w:t>Secondary outcomes: inpatient mortality, length of stay, discharge disposition,</w:t>
            </w:r>
            <w:r w:rsidR="00E614B4" w:rsidRPr="00601D55">
              <w:rPr>
                <w:rFonts w:asciiTheme="minorHAnsi" w:hAnsiTheme="minorHAnsi" w:cstheme="minorHAnsi"/>
                <w:b/>
                <w:sz w:val="20"/>
                <w:szCs w:val="20"/>
              </w:rPr>
              <w:t xml:space="preserve"> </w:t>
            </w:r>
            <w:r w:rsidRPr="00601D55">
              <w:rPr>
                <w:rFonts w:asciiTheme="minorHAnsi" w:hAnsiTheme="minorHAnsi" w:cstheme="minorHAnsi"/>
                <w:b/>
                <w:sz w:val="20"/>
                <w:szCs w:val="20"/>
              </w:rPr>
              <w:t>90-day favorable functional outcome (</w:t>
            </w:r>
            <w:proofErr w:type="spellStart"/>
            <w:r w:rsidRPr="00601D55">
              <w:rPr>
                <w:rFonts w:asciiTheme="minorHAnsi" w:hAnsiTheme="minorHAnsi" w:cstheme="minorHAnsi"/>
                <w:b/>
                <w:sz w:val="20"/>
                <w:szCs w:val="20"/>
              </w:rPr>
              <w:t>mRS</w:t>
            </w:r>
            <w:proofErr w:type="spellEnd"/>
            <w:r w:rsidRPr="00601D55">
              <w:rPr>
                <w:rFonts w:asciiTheme="minorHAnsi" w:hAnsiTheme="minorHAnsi" w:cstheme="minorHAnsi"/>
                <w:b/>
                <w:sz w:val="20"/>
                <w:szCs w:val="20"/>
              </w:rPr>
              <w:t xml:space="preserve"> 0-2).</w:t>
            </w:r>
          </w:p>
          <w:p w14:paraId="337AF47D" w14:textId="3F2042F8" w:rsidR="00E5409F" w:rsidRPr="00601D55" w:rsidRDefault="00E5409F" w:rsidP="00E5409F">
            <w:pPr>
              <w:rPr>
                <w:rFonts w:cstheme="minorHAnsi"/>
                <w:b/>
                <w:sz w:val="20"/>
                <w:szCs w:val="20"/>
              </w:rPr>
            </w:pPr>
          </w:p>
          <w:p w14:paraId="1C4FAF5E" w14:textId="77777777" w:rsidR="00E5409F" w:rsidRPr="00601D55" w:rsidRDefault="00E5409F" w:rsidP="00E5409F">
            <w:pPr>
              <w:spacing w:line="259" w:lineRule="auto"/>
              <w:rPr>
                <w:rFonts w:cstheme="minorHAnsi"/>
                <w:b/>
                <w:sz w:val="20"/>
                <w:szCs w:val="20"/>
              </w:rPr>
            </w:pPr>
          </w:p>
          <w:p w14:paraId="150FE5D9" w14:textId="77777777" w:rsidR="0048655A" w:rsidRPr="00601D55" w:rsidRDefault="00E5409F" w:rsidP="00E5409F">
            <w:pPr>
              <w:spacing w:line="259" w:lineRule="auto"/>
              <w:rPr>
                <w:rFonts w:cstheme="minorHAnsi"/>
                <w:b/>
                <w:sz w:val="20"/>
                <w:szCs w:val="20"/>
              </w:rPr>
            </w:pPr>
            <w:r w:rsidRPr="00601D55">
              <w:rPr>
                <w:rFonts w:cstheme="minorHAnsi"/>
                <w:b/>
                <w:sz w:val="20"/>
                <w:szCs w:val="20"/>
              </w:rPr>
              <w:t xml:space="preserve">Key Findings: During the 21-month study period, 13,634 stroke alerts occurred in the extended window; of which 726 met clinical criteria and underwent further workup. The final study cohort included 449 patients without hemorrhage on head CT and not requiring EVT. Of these, 24 (5.3%) were treated with TNKase [Figure]. Among those treated, 14 (58.3%) were wake-up strokes. TNKase-treated patients were more likely to be walk-ins (25% vs. 11.6%; p = 0.05) and had longer times from LSN to ED arrival (8.7 hours vs. 6 hours; p &lt; 0.001) [Table 1]. Inpatient mortality (0% vs. 8%; p </w:t>
            </w:r>
            <w:proofErr w:type="gramStart"/>
            <w:r w:rsidRPr="00601D55">
              <w:rPr>
                <w:rFonts w:cstheme="minorHAnsi"/>
                <w:b/>
                <w:sz w:val="20"/>
                <w:szCs w:val="20"/>
              </w:rPr>
              <w:t>= —)</w:t>
            </w:r>
            <w:proofErr w:type="gramEnd"/>
            <w:r w:rsidRPr="00601D55">
              <w:rPr>
                <w:rFonts w:cstheme="minorHAnsi"/>
                <w:b/>
                <w:sz w:val="20"/>
                <w:szCs w:val="20"/>
              </w:rPr>
              <w:t xml:space="preserve"> and 90-day mortality (4.2% vs. 16.2%; p = 0.11) were suggestively lower in the TNKase group [Table 2]. One treated patient (4.3%) experienced symptomatic intracranial hemorrhage (</w:t>
            </w:r>
            <w:proofErr w:type="spellStart"/>
            <w:r w:rsidRPr="00601D55">
              <w:rPr>
                <w:rFonts w:cstheme="minorHAnsi"/>
                <w:b/>
                <w:sz w:val="20"/>
                <w:szCs w:val="20"/>
              </w:rPr>
              <w:t>sICH</w:t>
            </w:r>
            <w:proofErr w:type="spellEnd"/>
            <w:r w:rsidRPr="00601D55">
              <w:rPr>
                <w:rFonts w:cstheme="minorHAnsi"/>
                <w:b/>
                <w:sz w:val="20"/>
                <w:szCs w:val="20"/>
              </w:rPr>
              <w:t xml:space="preserve">). For 90-day </w:t>
            </w:r>
            <w:proofErr w:type="spellStart"/>
            <w:r w:rsidRPr="00601D55">
              <w:rPr>
                <w:rFonts w:cstheme="minorHAnsi"/>
                <w:b/>
                <w:sz w:val="20"/>
                <w:szCs w:val="20"/>
              </w:rPr>
              <w:t>mRS</w:t>
            </w:r>
            <w:proofErr w:type="spellEnd"/>
            <w:r w:rsidRPr="00601D55">
              <w:rPr>
                <w:rFonts w:cstheme="minorHAnsi"/>
                <w:b/>
                <w:sz w:val="20"/>
                <w:szCs w:val="20"/>
              </w:rPr>
              <w:t xml:space="preserve"> among those treated, 8 were missing, and 25% (95% CI: 7.3–52.4) achieved </w:t>
            </w:r>
            <w:proofErr w:type="spellStart"/>
            <w:r w:rsidRPr="00601D55">
              <w:rPr>
                <w:rFonts w:cstheme="minorHAnsi"/>
                <w:b/>
                <w:sz w:val="20"/>
                <w:szCs w:val="20"/>
              </w:rPr>
              <w:t>mRS</w:t>
            </w:r>
            <w:proofErr w:type="spellEnd"/>
            <w:r w:rsidRPr="00601D55">
              <w:rPr>
                <w:rFonts w:cstheme="minorHAnsi"/>
                <w:b/>
                <w:sz w:val="20"/>
                <w:szCs w:val="20"/>
              </w:rPr>
              <w:t xml:space="preserve"> 0–2. </w:t>
            </w:r>
            <w:r w:rsidRPr="00601D55">
              <w:rPr>
                <w:rFonts w:cstheme="minorHAnsi"/>
                <w:sz w:val="20"/>
                <w:szCs w:val="20"/>
              </w:rPr>
              <w:t xml:space="preserve"> </w:t>
            </w:r>
            <w:r w:rsidRPr="00601D55">
              <w:rPr>
                <w:rFonts w:cstheme="minorHAnsi"/>
                <w:b/>
                <w:sz w:val="20"/>
                <w:szCs w:val="20"/>
              </w:rPr>
              <w:t xml:space="preserve">Over 21 months, relatively few patients presenting as wake-up stroke or in the 4.5–9 h window met all clinical and advanced neuroimaging criteria for TNKase in a large, </w:t>
            </w:r>
            <w:r w:rsidRPr="00601D55">
              <w:rPr>
                <w:rFonts w:cstheme="minorHAnsi"/>
                <w:b/>
                <w:sz w:val="20"/>
                <w:szCs w:val="20"/>
              </w:rPr>
              <w:lastRenderedPageBreak/>
              <w:t xml:space="preserve">integrated healthcare system. Rates of </w:t>
            </w:r>
            <w:proofErr w:type="spellStart"/>
            <w:r w:rsidRPr="00601D55">
              <w:rPr>
                <w:rFonts w:cstheme="minorHAnsi"/>
                <w:b/>
                <w:sz w:val="20"/>
                <w:szCs w:val="20"/>
              </w:rPr>
              <w:t>sICH</w:t>
            </w:r>
            <w:proofErr w:type="spellEnd"/>
            <w:r w:rsidRPr="00601D55">
              <w:rPr>
                <w:rFonts w:cstheme="minorHAnsi"/>
                <w:b/>
                <w:sz w:val="20"/>
                <w:szCs w:val="20"/>
              </w:rPr>
              <w:t xml:space="preserve"> and 90-day mortality were low. Additional studies are needed to understand the cost-effectiveness of screening and treating this population in the extended window.</w:t>
            </w:r>
          </w:p>
          <w:p w14:paraId="554180C1" w14:textId="77777777" w:rsidR="00620CB1" w:rsidRPr="00601D55" w:rsidRDefault="00620CB1" w:rsidP="00E5409F">
            <w:pPr>
              <w:spacing w:line="259" w:lineRule="auto"/>
              <w:rPr>
                <w:rFonts w:cstheme="minorHAnsi"/>
                <w:b/>
                <w:sz w:val="20"/>
                <w:szCs w:val="20"/>
              </w:rPr>
            </w:pPr>
          </w:p>
          <w:p w14:paraId="3CD35CB0" w14:textId="3FBD5451" w:rsidR="00620CB1" w:rsidRPr="00601D55" w:rsidRDefault="00BD133F" w:rsidP="00E5409F">
            <w:pPr>
              <w:spacing w:line="259" w:lineRule="auto"/>
              <w:rPr>
                <w:rFonts w:cstheme="minorHAnsi"/>
                <w:sz w:val="20"/>
                <w:szCs w:val="20"/>
              </w:rPr>
            </w:pPr>
            <w:r w:rsidRPr="00601D55">
              <w:rPr>
                <w:rFonts w:cstheme="minorHAnsi"/>
                <w:b/>
                <w:sz w:val="20"/>
                <w:szCs w:val="20"/>
              </w:rPr>
              <w:t xml:space="preserve">In Table 3, our community cohort’s outcomes for </w:t>
            </w:r>
            <w:r w:rsidR="00E72927" w:rsidRPr="00601D55">
              <w:rPr>
                <w:rFonts w:cstheme="minorHAnsi"/>
                <w:b/>
                <w:sz w:val="20"/>
                <w:szCs w:val="20"/>
              </w:rPr>
              <w:t xml:space="preserve">treatment time, 90-day </w:t>
            </w:r>
            <w:r w:rsidRPr="00601D55">
              <w:rPr>
                <w:rFonts w:cstheme="minorHAnsi"/>
                <w:b/>
                <w:sz w:val="20"/>
                <w:szCs w:val="20"/>
              </w:rPr>
              <w:t xml:space="preserve">mortality and </w:t>
            </w:r>
            <w:proofErr w:type="spellStart"/>
            <w:r w:rsidRPr="00601D55">
              <w:rPr>
                <w:rFonts w:cstheme="minorHAnsi"/>
                <w:b/>
                <w:sz w:val="20"/>
                <w:szCs w:val="20"/>
              </w:rPr>
              <w:t>sICH</w:t>
            </w:r>
            <w:proofErr w:type="spellEnd"/>
            <w:r w:rsidRPr="00601D55">
              <w:rPr>
                <w:rFonts w:cstheme="minorHAnsi"/>
                <w:b/>
                <w:sz w:val="20"/>
                <w:szCs w:val="20"/>
              </w:rPr>
              <w:t xml:space="preserve"> </w:t>
            </w:r>
            <w:r w:rsidR="00E72927" w:rsidRPr="00601D55">
              <w:rPr>
                <w:rFonts w:cstheme="minorHAnsi"/>
                <w:b/>
                <w:sz w:val="20"/>
                <w:szCs w:val="20"/>
              </w:rPr>
              <w:t xml:space="preserve">rate </w:t>
            </w:r>
            <w:r w:rsidRPr="00601D55">
              <w:rPr>
                <w:rFonts w:cstheme="minorHAnsi"/>
                <w:b/>
                <w:sz w:val="20"/>
                <w:szCs w:val="20"/>
              </w:rPr>
              <w:t xml:space="preserve">were comparable to </w:t>
            </w:r>
            <w:r w:rsidR="00E72927" w:rsidRPr="00601D55">
              <w:rPr>
                <w:rFonts w:cstheme="minorHAnsi"/>
                <w:b/>
                <w:sz w:val="20"/>
                <w:szCs w:val="20"/>
              </w:rPr>
              <w:t xml:space="preserve">those published from clinical trials.  </w:t>
            </w:r>
            <w:r w:rsidR="005B5BFF" w:rsidRPr="00601D55">
              <w:rPr>
                <w:rFonts w:cstheme="minorHAnsi"/>
                <w:b/>
                <w:sz w:val="20"/>
                <w:szCs w:val="20"/>
              </w:rPr>
              <w:t>However, f</w:t>
            </w:r>
            <w:r w:rsidR="00620CB1" w:rsidRPr="00601D55">
              <w:rPr>
                <w:rFonts w:cstheme="minorHAnsi"/>
                <w:b/>
                <w:sz w:val="20"/>
                <w:szCs w:val="20"/>
              </w:rPr>
              <w:t xml:space="preserve">or the 90-day </w:t>
            </w:r>
            <w:proofErr w:type="spellStart"/>
            <w:r w:rsidR="00620CB1" w:rsidRPr="00601D55">
              <w:rPr>
                <w:rFonts w:cstheme="minorHAnsi"/>
                <w:b/>
                <w:sz w:val="20"/>
                <w:szCs w:val="20"/>
              </w:rPr>
              <w:t>mRS</w:t>
            </w:r>
            <w:proofErr w:type="spellEnd"/>
            <w:r w:rsidR="00620CB1" w:rsidRPr="00601D55">
              <w:rPr>
                <w:rFonts w:cstheme="minorHAnsi"/>
                <w:b/>
                <w:sz w:val="20"/>
                <w:szCs w:val="20"/>
              </w:rPr>
              <w:t xml:space="preserve"> (or functional outcome), due to 8 missing</w:t>
            </w:r>
            <w:r w:rsidR="00085FF9" w:rsidRPr="00601D55">
              <w:rPr>
                <w:rFonts w:cstheme="minorHAnsi"/>
                <w:b/>
                <w:sz w:val="20"/>
                <w:szCs w:val="20"/>
              </w:rPr>
              <w:t xml:space="preserve"> data (out of 24 who were treated), we cannot make any conclusions at this time about this outcome. </w:t>
            </w:r>
          </w:p>
        </w:tc>
      </w:tr>
      <w:tr w:rsidR="008E6D2C" w:rsidRPr="00601D55" w14:paraId="62542513" w14:textId="77777777" w:rsidTr="00FA1E75">
        <w:trPr>
          <w:trHeight w:val="816"/>
        </w:trPr>
        <w:tc>
          <w:tcPr>
            <w:tcW w:w="1651" w:type="dxa"/>
          </w:tcPr>
          <w:p w14:paraId="38755ADC" w14:textId="77777777" w:rsidR="0048655A" w:rsidRPr="00601D55" w:rsidRDefault="0048655A" w:rsidP="0048655A">
            <w:pPr>
              <w:spacing w:line="259" w:lineRule="auto"/>
              <w:rPr>
                <w:rFonts w:cstheme="minorHAnsi"/>
                <w:b/>
                <w:bCs/>
                <w:sz w:val="20"/>
                <w:szCs w:val="20"/>
              </w:rPr>
            </w:pPr>
            <w:r w:rsidRPr="00601D55">
              <w:rPr>
                <w:rFonts w:cstheme="minorHAnsi"/>
                <w:b/>
                <w:bCs/>
                <w:sz w:val="20"/>
                <w:szCs w:val="20"/>
              </w:rPr>
              <w:lastRenderedPageBreak/>
              <w:t>Resulting Action/Change</w:t>
            </w:r>
          </w:p>
        </w:tc>
        <w:tc>
          <w:tcPr>
            <w:tcW w:w="9139" w:type="dxa"/>
          </w:tcPr>
          <w:p w14:paraId="0368D7D7" w14:textId="77777777" w:rsidR="0048655A" w:rsidRPr="00601D55" w:rsidRDefault="00E5409F" w:rsidP="0048655A">
            <w:pPr>
              <w:spacing w:line="259" w:lineRule="auto"/>
              <w:rPr>
                <w:rFonts w:cstheme="minorHAnsi"/>
                <w:b/>
                <w:bCs/>
                <w:sz w:val="20"/>
                <w:szCs w:val="20"/>
              </w:rPr>
            </w:pPr>
            <w:r w:rsidRPr="00601D55">
              <w:rPr>
                <w:rFonts w:cstheme="minorHAnsi"/>
                <w:b/>
                <w:bCs/>
                <w:sz w:val="20"/>
                <w:szCs w:val="20"/>
              </w:rPr>
              <w:t xml:space="preserve">Data was presented </w:t>
            </w:r>
            <w:r w:rsidR="009907A5" w:rsidRPr="00601D55">
              <w:rPr>
                <w:rFonts w:cstheme="minorHAnsi"/>
                <w:b/>
                <w:bCs/>
                <w:sz w:val="20"/>
                <w:szCs w:val="20"/>
              </w:rPr>
              <w:t xml:space="preserve">to </w:t>
            </w:r>
            <w:proofErr w:type="spellStart"/>
            <w:r w:rsidR="009907A5" w:rsidRPr="00601D55">
              <w:rPr>
                <w:rFonts w:cstheme="minorHAnsi"/>
                <w:b/>
                <w:bCs/>
                <w:sz w:val="20"/>
                <w:szCs w:val="20"/>
              </w:rPr>
              <w:t>telestroke</w:t>
            </w:r>
            <w:proofErr w:type="spellEnd"/>
            <w:r w:rsidR="009907A5" w:rsidRPr="00601D55">
              <w:rPr>
                <w:rFonts w:cstheme="minorHAnsi"/>
                <w:b/>
                <w:bCs/>
                <w:sz w:val="20"/>
                <w:szCs w:val="20"/>
              </w:rPr>
              <w:t xml:space="preserve"> group on 8/19/25. </w:t>
            </w:r>
            <w:r w:rsidRPr="00601D55">
              <w:rPr>
                <w:rFonts w:cstheme="minorHAnsi"/>
                <w:b/>
                <w:bCs/>
                <w:sz w:val="20"/>
                <w:szCs w:val="20"/>
              </w:rPr>
              <w:t xml:space="preserve">Planned presentation </w:t>
            </w:r>
            <w:proofErr w:type="gramStart"/>
            <w:r w:rsidR="009907A5" w:rsidRPr="00601D55">
              <w:rPr>
                <w:rFonts w:cstheme="minorHAnsi"/>
                <w:b/>
                <w:bCs/>
                <w:sz w:val="20"/>
                <w:szCs w:val="20"/>
              </w:rPr>
              <w:t>to</w:t>
            </w:r>
            <w:proofErr w:type="gramEnd"/>
            <w:r w:rsidR="009907A5" w:rsidRPr="00601D55">
              <w:rPr>
                <w:rFonts w:cstheme="minorHAnsi"/>
                <w:b/>
                <w:bCs/>
                <w:sz w:val="20"/>
                <w:szCs w:val="20"/>
              </w:rPr>
              <w:t xml:space="preserve"> </w:t>
            </w:r>
            <w:r w:rsidR="005F6E5C" w:rsidRPr="00601D55">
              <w:rPr>
                <w:rFonts w:cstheme="minorHAnsi"/>
                <w:b/>
                <w:bCs/>
                <w:sz w:val="20"/>
                <w:szCs w:val="20"/>
              </w:rPr>
              <w:t xml:space="preserve">next </w:t>
            </w:r>
            <w:r w:rsidR="009907A5" w:rsidRPr="00601D55">
              <w:rPr>
                <w:rFonts w:cstheme="minorHAnsi"/>
                <w:b/>
                <w:bCs/>
                <w:sz w:val="20"/>
                <w:szCs w:val="20"/>
              </w:rPr>
              <w:t xml:space="preserve">quarterly stroke directors </w:t>
            </w:r>
            <w:r w:rsidRPr="00601D55">
              <w:rPr>
                <w:rFonts w:cstheme="minorHAnsi"/>
                <w:b/>
                <w:bCs/>
                <w:sz w:val="20"/>
                <w:szCs w:val="20"/>
              </w:rPr>
              <w:t xml:space="preserve">meeting on </w:t>
            </w:r>
            <w:r w:rsidR="005F6E5C" w:rsidRPr="00601D55">
              <w:rPr>
                <w:rFonts w:cstheme="minorHAnsi"/>
                <w:b/>
                <w:bCs/>
                <w:sz w:val="20"/>
                <w:szCs w:val="20"/>
              </w:rPr>
              <w:t>11/10/25</w:t>
            </w:r>
            <w:r w:rsidRPr="00601D55">
              <w:rPr>
                <w:rFonts w:cstheme="minorHAnsi"/>
                <w:b/>
                <w:bCs/>
                <w:sz w:val="20"/>
                <w:szCs w:val="20"/>
              </w:rPr>
              <w:t>.</w:t>
            </w:r>
          </w:p>
          <w:p w14:paraId="21769E68" w14:textId="77777777" w:rsidR="00331F42" w:rsidRPr="00601D55" w:rsidRDefault="00331F42" w:rsidP="0048655A">
            <w:pPr>
              <w:spacing w:line="259" w:lineRule="auto"/>
              <w:rPr>
                <w:rFonts w:cstheme="minorHAnsi"/>
                <w:b/>
                <w:bCs/>
                <w:sz w:val="20"/>
                <w:szCs w:val="20"/>
              </w:rPr>
            </w:pPr>
          </w:p>
          <w:p w14:paraId="092B6F29" w14:textId="5EA7CDD4" w:rsidR="00331F42" w:rsidRPr="00601D55" w:rsidRDefault="00331F42" w:rsidP="0048655A">
            <w:pPr>
              <w:spacing w:line="259" w:lineRule="auto"/>
              <w:rPr>
                <w:rFonts w:cstheme="minorHAnsi"/>
                <w:b/>
                <w:bCs/>
                <w:sz w:val="20"/>
                <w:szCs w:val="20"/>
              </w:rPr>
            </w:pPr>
            <w:r w:rsidRPr="00601D55">
              <w:rPr>
                <w:rFonts w:cstheme="minorHAnsi"/>
                <w:sz w:val="20"/>
                <w:szCs w:val="20"/>
              </w:rPr>
              <w:t xml:space="preserve">We do not see any increased complication with </w:t>
            </w:r>
            <w:proofErr w:type="spellStart"/>
            <w:r w:rsidRPr="00601D55">
              <w:rPr>
                <w:rFonts w:cstheme="minorHAnsi"/>
                <w:sz w:val="20"/>
                <w:szCs w:val="20"/>
              </w:rPr>
              <w:t>sICH</w:t>
            </w:r>
            <w:proofErr w:type="spellEnd"/>
            <w:r w:rsidRPr="00601D55">
              <w:rPr>
                <w:rFonts w:cstheme="minorHAnsi"/>
                <w:sz w:val="20"/>
                <w:szCs w:val="20"/>
              </w:rPr>
              <w:t xml:space="preserve"> post-</w:t>
            </w:r>
            <w:proofErr w:type="spellStart"/>
            <w:r w:rsidRPr="00601D55">
              <w:rPr>
                <w:rFonts w:cstheme="minorHAnsi"/>
                <w:sz w:val="20"/>
                <w:szCs w:val="20"/>
              </w:rPr>
              <w:t>TNKase</w:t>
            </w:r>
            <w:proofErr w:type="spellEnd"/>
            <w:r w:rsidRPr="00601D55">
              <w:rPr>
                <w:rFonts w:cstheme="minorHAnsi"/>
                <w:sz w:val="20"/>
                <w:szCs w:val="20"/>
              </w:rPr>
              <w:t xml:space="preserve"> treatment in the extended window </w:t>
            </w:r>
            <w:proofErr w:type="gramStart"/>
            <w:r w:rsidRPr="00601D55">
              <w:rPr>
                <w:rFonts w:cstheme="minorHAnsi"/>
                <w:sz w:val="20"/>
                <w:szCs w:val="20"/>
              </w:rPr>
              <w:t>as long as</w:t>
            </w:r>
            <w:proofErr w:type="gramEnd"/>
            <w:r w:rsidRPr="00601D55">
              <w:rPr>
                <w:rFonts w:cstheme="minorHAnsi"/>
                <w:sz w:val="20"/>
                <w:szCs w:val="20"/>
              </w:rPr>
              <w:t xml:space="preserve"> teleneurologists follow the outlined workflow. It may be reasonable for the Telestroke neurologists to continue to screen wake-up stroke patients and patients presenting in 4.5-9 hours with the outlined workflow.  </w:t>
            </w:r>
          </w:p>
        </w:tc>
      </w:tr>
      <w:tr w:rsidR="008E6D2C" w:rsidRPr="00601D55" w14:paraId="57800790" w14:textId="77777777" w:rsidTr="00FA1E75">
        <w:trPr>
          <w:trHeight w:val="816"/>
        </w:trPr>
        <w:tc>
          <w:tcPr>
            <w:tcW w:w="1651" w:type="dxa"/>
          </w:tcPr>
          <w:p w14:paraId="6C4E04AC" w14:textId="161310DB" w:rsidR="00CB0455" w:rsidRPr="00601D55" w:rsidRDefault="00CB0455" w:rsidP="0048655A">
            <w:pPr>
              <w:rPr>
                <w:rFonts w:cstheme="minorHAnsi"/>
                <w:sz w:val="20"/>
                <w:szCs w:val="20"/>
              </w:rPr>
            </w:pPr>
            <w:r w:rsidRPr="00601D55">
              <w:rPr>
                <w:rFonts w:cstheme="minorHAnsi"/>
                <w:sz w:val="20"/>
                <w:szCs w:val="20"/>
              </w:rPr>
              <w:t>Additional Recommendations</w:t>
            </w:r>
          </w:p>
        </w:tc>
        <w:tc>
          <w:tcPr>
            <w:tcW w:w="9139" w:type="dxa"/>
          </w:tcPr>
          <w:p w14:paraId="08163871" w14:textId="2DA7E0E8" w:rsidR="00CB0455" w:rsidRPr="00601D55" w:rsidRDefault="005A6BC4" w:rsidP="0048655A">
            <w:pPr>
              <w:rPr>
                <w:rFonts w:cstheme="minorHAnsi"/>
                <w:sz w:val="20"/>
                <w:szCs w:val="20"/>
              </w:rPr>
            </w:pPr>
            <w:r w:rsidRPr="00601D55">
              <w:rPr>
                <w:rFonts w:cstheme="minorHAnsi"/>
                <w:sz w:val="20"/>
                <w:szCs w:val="20"/>
              </w:rPr>
              <w:t xml:space="preserve">We should review </w:t>
            </w:r>
            <w:r w:rsidR="00AD534D" w:rsidRPr="00601D55">
              <w:rPr>
                <w:rFonts w:cstheme="minorHAnsi"/>
                <w:sz w:val="20"/>
                <w:szCs w:val="20"/>
              </w:rPr>
              <w:t xml:space="preserve">this </w:t>
            </w:r>
            <w:r w:rsidR="00A817C7" w:rsidRPr="00601D55">
              <w:rPr>
                <w:rFonts w:cstheme="minorHAnsi"/>
                <w:sz w:val="20"/>
                <w:szCs w:val="20"/>
              </w:rPr>
              <w:t xml:space="preserve">workflow </w:t>
            </w:r>
            <w:r w:rsidR="00AD534D" w:rsidRPr="00601D55">
              <w:rPr>
                <w:rFonts w:cstheme="minorHAnsi"/>
                <w:sz w:val="20"/>
                <w:szCs w:val="20"/>
              </w:rPr>
              <w:t xml:space="preserve">again after </w:t>
            </w:r>
            <w:r w:rsidR="00A817C7" w:rsidRPr="00601D55">
              <w:rPr>
                <w:rFonts w:cstheme="minorHAnsi"/>
                <w:sz w:val="20"/>
                <w:szCs w:val="20"/>
              </w:rPr>
              <w:t xml:space="preserve">we try to </w:t>
            </w:r>
            <w:r w:rsidR="00521272" w:rsidRPr="00601D55">
              <w:rPr>
                <w:rFonts w:cstheme="minorHAnsi"/>
                <w:sz w:val="20"/>
                <w:szCs w:val="20"/>
              </w:rPr>
              <w:t xml:space="preserve">capture the 90-day </w:t>
            </w:r>
            <w:proofErr w:type="spellStart"/>
            <w:r w:rsidR="00521272" w:rsidRPr="00601D55">
              <w:rPr>
                <w:rFonts w:cstheme="minorHAnsi"/>
                <w:sz w:val="20"/>
                <w:szCs w:val="20"/>
              </w:rPr>
              <w:t>mRS</w:t>
            </w:r>
            <w:proofErr w:type="spellEnd"/>
            <w:r w:rsidR="00521272" w:rsidRPr="00601D55">
              <w:rPr>
                <w:rFonts w:cstheme="minorHAnsi"/>
                <w:sz w:val="20"/>
                <w:szCs w:val="20"/>
              </w:rPr>
              <w:t xml:space="preserve"> for the missing 8 patients</w:t>
            </w:r>
            <w:r w:rsidR="00624B97" w:rsidRPr="00601D55">
              <w:rPr>
                <w:rFonts w:cstheme="minorHAnsi"/>
                <w:sz w:val="20"/>
                <w:szCs w:val="20"/>
              </w:rPr>
              <w:t>.</w:t>
            </w:r>
          </w:p>
        </w:tc>
      </w:tr>
      <w:tr w:rsidR="008E6D2C" w:rsidRPr="00601D55" w14:paraId="21F6FB6D" w14:textId="77777777" w:rsidTr="00FA1E75">
        <w:trPr>
          <w:trHeight w:val="552"/>
        </w:trPr>
        <w:tc>
          <w:tcPr>
            <w:tcW w:w="1651" w:type="dxa"/>
          </w:tcPr>
          <w:p w14:paraId="511F380C" w14:textId="77777777" w:rsidR="0048655A" w:rsidRPr="00601D55" w:rsidRDefault="0048655A" w:rsidP="0048655A">
            <w:pPr>
              <w:spacing w:line="259" w:lineRule="auto"/>
              <w:rPr>
                <w:rFonts w:cstheme="minorHAnsi"/>
                <w:sz w:val="20"/>
                <w:szCs w:val="20"/>
              </w:rPr>
            </w:pPr>
            <w:r w:rsidRPr="00601D55">
              <w:rPr>
                <w:rFonts w:cstheme="minorHAnsi"/>
                <w:sz w:val="20"/>
                <w:szCs w:val="20"/>
              </w:rPr>
              <w:lastRenderedPageBreak/>
              <w:t>Implementation Tools</w:t>
            </w:r>
            <w:r w:rsidRPr="00601D55">
              <w:rPr>
                <w:rFonts w:cstheme="minorHAnsi"/>
                <w:sz w:val="20"/>
                <w:szCs w:val="20"/>
              </w:rPr>
              <w:tab/>
            </w:r>
          </w:p>
        </w:tc>
        <w:tc>
          <w:tcPr>
            <w:tcW w:w="9139" w:type="dxa"/>
          </w:tcPr>
          <w:p w14:paraId="35B5FEA6" w14:textId="3A84E4F4" w:rsidR="0048655A" w:rsidRPr="00601D55" w:rsidRDefault="00E5409F" w:rsidP="0048655A">
            <w:pPr>
              <w:spacing w:line="259" w:lineRule="auto"/>
              <w:rPr>
                <w:rFonts w:cstheme="minorHAnsi"/>
                <w:sz w:val="20"/>
                <w:szCs w:val="20"/>
              </w:rPr>
            </w:pPr>
            <w:r w:rsidRPr="00601D55">
              <w:rPr>
                <w:rFonts w:cstheme="minorHAnsi"/>
                <w:noProof/>
                <w:sz w:val="20"/>
                <w:szCs w:val="20"/>
              </w:rPr>
              <w:drawing>
                <wp:inline distT="0" distB="0" distL="0" distR="0" wp14:anchorId="4643AB0D" wp14:editId="2D05E532">
                  <wp:extent cx="6020640" cy="7306695"/>
                  <wp:effectExtent l="0" t="0" r="0" b="8890"/>
                  <wp:docPr id="67536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66704" name=""/>
                          <pic:cNvPicPr/>
                        </pic:nvPicPr>
                        <pic:blipFill>
                          <a:blip r:embed="rId8"/>
                          <a:stretch>
                            <a:fillRect/>
                          </a:stretch>
                        </pic:blipFill>
                        <pic:spPr>
                          <a:xfrm>
                            <a:off x="0" y="0"/>
                            <a:ext cx="6020640" cy="7306695"/>
                          </a:xfrm>
                          <a:prstGeom prst="rect">
                            <a:avLst/>
                          </a:prstGeom>
                        </pic:spPr>
                      </pic:pic>
                    </a:graphicData>
                  </a:graphic>
                </wp:inline>
              </w:drawing>
            </w:r>
          </w:p>
        </w:tc>
      </w:tr>
      <w:tr w:rsidR="008E6D2C" w:rsidRPr="00601D55" w14:paraId="02D4678D" w14:textId="77777777" w:rsidTr="00FA1E75">
        <w:trPr>
          <w:trHeight w:val="552"/>
        </w:trPr>
        <w:tc>
          <w:tcPr>
            <w:tcW w:w="1651" w:type="dxa"/>
          </w:tcPr>
          <w:p w14:paraId="1B184543" w14:textId="77777777" w:rsidR="0048655A" w:rsidRPr="00601D55" w:rsidRDefault="0048655A" w:rsidP="0048655A">
            <w:pPr>
              <w:spacing w:line="259" w:lineRule="auto"/>
              <w:rPr>
                <w:rFonts w:cstheme="minorHAnsi"/>
                <w:sz w:val="20"/>
                <w:szCs w:val="20"/>
              </w:rPr>
            </w:pPr>
            <w:r w:rsidRPr="00601D55">
              <w:rPr>
                <w:rFonts w:cstheme="minorHAnsi"/>
                <w:sz w:val="20"/>
                <w:szCs w:val="20"/>
              </w:rPr>
              <w:lastRenderedPageBreak/>
              <w:t>Implementation Measurement</w:t>
            </w:r>
          </w:p>
        </w:tc>
        <w:tc>
          <w:tcPr>
            <w:tcW w:w="9139" w:type="dxa"/>
          </w:tcPr>
          <w:p w14:paraId="0D25EBD1" w14:textId="710BBBDA" w:rsidR="0048655A" w:rsidRPr="00601D55" w:rsidRDefault="001B5494" w:rsidP="0048655A">
            <w:pPr>
              <w:spacing w:line="259" w:lineRule="auto"/>
              <w:rPr>
                <w:rFonts w:cstheme="minorHAnsi"/>
                <w:sz w:val="20"/>
                <w:szCs w:val="20"/>
              </w:rPr>
            </w:pPr>
            <w:r w:rsidRPr="00601D55">
              <w:rPr>
                <w:rFonts w:cstheme="minorHAnsi"/>
                <w:noProof/>
                <w:sz w:val="20"/>
                <w:szCs w:val="20"/>
              </w:rPr>
              <w:drawing>
                <wp:inline distT="0" distB="0" distL="0" distR="0" wp14:anchorId="6A3280B2" wp14:editId="2E801916">
                  <wp:extent cx="4969328" cy="3668560"/>
                  <wp:effectExtent l="0" t="0" r="3175" b="8255"/>
                  <wp:docPr id="11" name="Picture 10" descr="A diagram of a patient's schedule&#10;&#10;AI-generated content may be incorrect.">
                    <a:extLst xmlns:a="http://schemas.openxmlformats.org/drawingml/2006/main">
                      <a:ext uri="{FF2B5EF4-FFF2-40B4-BE49-F238E27FC236}">
                        <a16:creationId xmlns:a16="http://schemas.microsoft.com/office/drawing/2014/main" id="{EB533044-335C-E0CC-0A7C-221460867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patient's schedule&#10;&#10;AI-generated content may be incorrect.">
                            <a:extLst>
                              <a:ext uri="{FF2B5EF4-FFF2-40B4-BE49-F238E27FC236}">
                                <a16:creationId xmlns:a16="http://schemas.microsoft.com/office/drawing/2014/main" id="{EB533044-335C-E0CC-0A7C-221460867888}"/>
                              </a:ext>
                            </a:extLst>
                          </pic:cNvPr>
                          <pic:cNvPicPr>
                            <a:picLocks noChangeAspect="1"/>
                          </pic:cNvPicPr>
                        </pic:nvPicPr>
                        <pic:blipFill>
                          <a:blip r:embed="rId9"/>
                          <a:stretch>
                            <a:fillRect/>
                          </a:stretch>
                        </pic:blipFill>
                        <pic:spPr>
                          <a:xfrm>
                            <a:off x="0" y="0"/>
                            <a:ext cx="4996484" cy="3688608"/>
                          </a:xfrm>
                          <a:prstGeom prst="rect">
                            <a:avLst/>
                          </a:prstGeom>
                        </pic:spPr>
                      </pic:pic>
                    </a:graphicData>
                  </a:graphic>
                </wp:inline>
              </w:drawing>
            </w:r>
          </w:p>
        </w:tc>
      </w:tr>
      <w:tr w:rsidR="008E6D2C" w:rsidRPr="00601D55" w14:paraId="66558595" w14:textId="77777777" w:rsidTr="00FA1E75">
        <w:trPr>
          <w:trHeight w:val="538"/>
        </w:trPr>
        <w:tc>
          <w:tcPr>
            <w:tcW w:w="1651" w:type="dxa"/>
          </w:tcPr>
          <w:p w14:paraId="29954FA9" w14:textId="77777777" w:rsidR="0048655A" w:rsidRPr="00601D55" w:rsidRDefault="0048655A" w:rsidP="0048655A">
            <w:pPr>
              <w:spacing w:line="259" w:lineRule="auto"/>
              <w:rPr>
                <w:rFonts w:cstheme="minorHAnsi"/>
                <w:sz w:val="20"/>
                <w:szCs w:val="20"/>
              </w:rPr>
            </w:pPr>
            <w:r w:rsidRPr="00601D55">
              <w:rPr>
                <w:rFonts w:cstheme="minorHAnsi"/>
                <w:sz w:val="20"/>
                <w:szCs w:val="20"/>
              </w:rPr>
              <w:t>Reference</w:t>
            </w:r>
          </w:p>
        </w:tc>
        <w:tc>
          <w:tcPr>
            <w:tcW w:w="9139" w:type="dxa"/>
          </w:tcPr>
          <w:p w14:paraId="45DC3867" w14:textId="35C6B5CF" w:rsidR="0048655A" w:rsidRPr="00601D55" w:rsidRDefault="0048655A" w:rsidP="0048655A">
            <w:pPr>
              <w:spacing w:line="259" w:lineRule="auto"/>
              <w:rPr>
                <w:rFonts w:cstheme="minorHAnsi"/>
                <w:sz w:val="20"/>
                <w:szCs w:val="20"/>
              </w:rPr>
            </w:pPr>
          </w:p>
          <w:p w14:paraId="1E17F8B9"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lastRenderedPageBreak/>
              <w:drawing>
                <wp:inline distT="0" distB="0" distL="0" distR="0" wp14:anchorId="0F7C82FA" wp14:editId="579C0251">
                  <wp:extent cx="5138057" cy="5272217"/>
                  <wp:effectExtent l="0" t="0" r="5715" b="0"/>
                  <wp:docPr id="1773596920" name="Picture 10">
                    <a:extLst xmlns:a="http://schemas.openxmlformats.org/drawingml/2006/main">
                      <a:ext uri="{FF2B5EF4-FFF2-40B4-BE49-F238E27FC236}">
                        <a16:creationId xmlns:a16="http://schemas.microsoft.com/office/drawing/2014/main" id="{E537CD10-326C-AD50-ECE0-1D65F098C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37CD10-326C-AD50-ECE0-1D65F098C4FF}"/>
                              </a:ext>
                            </a:extLst>
                          </pic:cNvPr>
                          <pic:cNvPicPr>
                            <a:picLocks noChangeAspect="1"/>
                          </pic:cNvPicPr>
                        </pic:nvPicPr>
                        <pic:blipFill>
                          <a:blip r:embed="rId10"/>
                          <a:stretch>
                            <a:fillRect/>
                          </a:stretch>
                        </pic:blipFill>
                        <pic:spPr>
                          <a:xfrm>
                            <a:off x="0" y="0"/>
                            <a:ext cx="5145663" cy="5280022"/>
                          </a:xfrm>
                          <a:prstGeom prst="rect">
                            <a:avLst/>
                          </a:prstGeom>
                        </pic:spPr>
                      </pic:pic>
                    </a:graphicData>
                  </a:graphic>
                </wp:inline>
              </w:drawing>
            </w:r>
          </w:p>
          <w:p w14:paraId="4D0A0828"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drawing>
                <wp:inline distT="0" distB="0" distL="0" distR="0" wp14:anchorId="4F6E27BB" wp14:editId="7BE2552C">
                  <wp:extent cx="5001985" cy="2952620"/>
                  <wp:effectExtent l="0" t="0" r="8255" b="635"/>
                  <wp:docPr id="81144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325" cy="2969939"/>
                          </a:xfrm>
                          <a:prstGeom prst="rect">
                            <a:avLst/>
                          </a:prstGeom>
                          <a:noFill/>
                        </pic:spPr>
                      </pic:pic>
                    </a:graphicData>
                  </a:graphic>
                </wp:inline>
              </w:drawing>
            </w:r>
          </w:p>
          <w:p w14:paraId="0779968E" w14:textId="77777777" w:rsidR="00E5409F" w:rsidRPr="00601D55" w:rsidRDefault="00E5409F" w:rsidP="0048655A">
            <w:pPr>
              <w:spacing w:line="259" w:lineRule="auto"/>
              <w:rPr>
                <w:rFonts w:cstheme="minorHAnsi"/>
                <w:sz w:val="20"/>
                <w:szCs w:val="20"/>
              </w:rPr>
            </w:pPr>
            <w:r w:rsidRPr="00601D55">
              <w:rPr>
                <w:rFonts w:cstheme="minorHAnsi"/>
                <w:noProof/>
                <w:sz w:val="20"/>
                <w:szCs w:val="20"/>
              </w:rPr>
              <w:lastRenderedPageBreak/>
              <w:drawing>
                <wp:inline distT="0" distB="0" distL="0" distR="0" wp14:anchorId="15F6BF4D" wp14:editId="2871CB96">
                  <wp:extent cx="5159828" cy="4116396"/>
                  <wp:effectExtent l="0" t="0" r="0" b="0"/>
                  <wp:docPr id="13" name="Picture 12" descr="A black background with a black square&#10;&#10;AI-generated content may be incorrect.">
                    <a:extLst xmlns:a="http://schemas.openxmlformats.org/drawingml/2006/main">
                      <a:ext uri="{FF2B5EF4-FFF2-40B4-BE49-F238E27FC236}">
                        <a16:creationId xmlns:a16="http://schemas.microsoft.com/office/drawing/2014/main" id="{21CB3BFB-09DC-5420-942B-637ED1165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ack background with a black square&#10;&#10;AI-generated content may be incorrect.">
                            <a:extLst>
                              <a:ext uri="{FF2B5EF4-FFF2-40B4-BE49-F238E27FC236}">
                                <a16:creationId xmlns:a16="http://schemas.microsoft.com/office/drawing/2014/main" id="{21CB3BFB-09DC-5420-942B-637ED1165263}"/>
                              </a:ext>
                            </a:extLst>
                          </pic:cNvPr>
                          <pic:cNvPicPr>
                            <a:picLocks noChangeAspect="1"/>
                          </pic:cNvPicPr>
                        </pic:nvPicPr>
                        <pic:blipFill>
                          <a:blip r:embed="rId12"/>
                          <a:stretch>
                            <a:fillRect/>
                          </a:stretch>
                        </pic:blipFill>
                        <pic:spPr>
                          <a:xfrm>
                            <a:off x="0" y="0"/>
                            <a:ext cx="5173888" cy="4127613"/>
                          </a:xfrm>
                          <a:prstGeom prst="rect">
                            <a:avLst/>
                          </a:prstGeom>
                        </pic:spPr>
                      </pic:pic>
                    </a:graphicData>
                  </a:graphic>
                </wp:inline>
              </w:drawing>
            </w:r>
          </w:p>
          <w:p w14:paraId="6CAA5E92" w14:textId="77777777" w:rsidR="001B5494" w:rsidRPr="00601D55" w:rsidRDefault="00A35BED" w:rsidP="001B5494">
            <w:pPr>
              <w:spacing w:line="259" w:lineRule="auto"/>
              <w:rPr>
                <w:rFonts w:cstheme="minorHAnsi"/>
                <w:sz w:val="20"/>
                <w:szCs w:val="20"/>
              </w:rPr>
            </w:pPr>
            <w:r w:rsidRPr="00601D55">
              <w:rPr>
                <w:rFonts w:cstheme="minorHAnsi"/>
                <w:noProof/>
                <w:sz w:val="20"/>
                <w:szCs w:val="20"/>
              </w:rPr>
              <w:drawing>
                <wp:inline distT="0" distB="0" distL="0" distR="0" wp14:anchorId="5D408160" wp14:editId="51F47BA1">
                  <wp:extent cx="5359529" cy="2044065"/>
                  <wp:effectExtent l="0" t="0" r="0" b="0"/>
                  <wp:docPr id="1765005189" name="Picture 10" descr="A table with numbers and text&#10;&#10;AI-generated content may be incorrect.">
                    <a:extLst xmlns:a="http://schemas.openxmlformats.org/drawingml/2006/main">
                      <a:ext uri="{FF2B5EF4-FFF2-40B4-BE49-F238E27FC236}">
                        <a16:creationId xmlns:a16="http://schemas.microsoft.com/office/drawing/2014/main" id="{8692238F-3ADF-92B7-7101-EE8848C42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table with numbers and text&#10;&#10;AI-generated content may be incorrect.">
                            <a:extLst>
                              <a:ext uri="{FF2B5EF4-FFF2-40B4-BE49-F238E27FC236}">
                                <a16:creationId xmlns:a16="http://schemas.microsoft.com/office/drawing/2014/main" id="{8692238F-3ADF-92B7-7101-EE8848C428BE}"/>
                              </a:ext>
                            </a:extLst>
                          </pic:cNvPr>
                          <pic:cNvPicPr>
                            <a:picLocks noChangeAspect="1"/>
                          </pic:cNvPicPr>
                        </pic:nvPicPr>
                        <pic:blipFill>
                          <a:blip r:embed="rId13"/>
                          <a:stretch>
                            <a:fillRect/>
                          </a:stretch>
                        </pic:blipFill>
                        <pic:spPr>
                          <a:xfrm>
                            <a:off x="0" y="0"/>
                            <a:ext cx="5382720" cy="2052910"/>
                          </a:xfrm>
                          <a:prstGeom prst="rect">
                            <a:avLst/>
                          </a:prstGeom>
                        </pic:spPr>
                      </pic:pic>
                    </a:graphicData>
                  </a:graphic>
                </wp:inline>
              </w:drawing>
            </w:r>
          </w:p>
          <w:p w14:paraId="722DE921" w14:textId="07F50153" w:rsidR="008A3663" w:rsidRPr="00601D55" w:rsidRDefault="008A3663" w:rsidP="001B5494">
            <w:pPr>
              <w:spacing w:line="259" w:lineRule="auto"/>
              <w:rPr>
                <w:rFonts w:cstheme="minorHAnsi"/>
                <w:sz w:val="20"/>
                <w:szCs w:val="20"/>
              </w:rPr>
            </w:pPr>
          </w:p>
        </w:tc>
      </w:tr>
      <w:bookmarkEnd w:id="0"/>
    </w:tbl>
    <w:p w14:paraId="62800767" w14:textId="77777777" w:rsidR="00FE6194" w:rsidRPr="00601D55" w:rsidRDefault="00FE6194" w:rsidP="00C73A94">
      <w:pPr>
        <w:spacing w:after="0"/>
        <w:rPr>
          <w:rFonts w:cstheme="minorHAnsi"/>
          <w:sz w:val="20"/>
          <w:szCs w:val="20"/>
        </w:rPr>
      </w:pPr>
    </w:p>
    <w:sectPr w:rsidR="00FE6194" w:rsidRPr="00601D55" w:rsidSect="00D245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Arial,Arial,Times New Ro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4216B"/>
    <w:multiLevelType w:val="hybridMultilevel"/>
    <w:tmpl w:val="6C765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E0FD2"/>
    <w:multiLevelType w:val="hybridMultilevel"/>
    <w:tmpl w:val="83EA2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061E7B"/>
    <w:multiLevelType w:val="hybridMultilevel"/>
    <w:tmpl w:val="1CD0A124"/>
    <w:lvl w:ilvl="0" w:tplc="7AB62D58">
      <w:start w:val="1"/>
      <w:numFmt w:val="bullet"/>
      <w:lvlText w:val=""/>
      <w:lvlJc w:val="left"/>
      <w:pPr>
        <w:tabs>
          <w:tab w:val="num" w:pos="720"/>
        </w:tabs>
        <w:ind w:left="720" w:hanging="360"/>
      </w:pPr>
      <w:rPr>
        <w:rFonts w:ascii="Wingdings" w:hAnsi="Wingdings" w:hint="default"/>
      </w:rPr>
    </w:lvl>
    <w:lvl w:ilvl="1" w:tplc="ECB6A118">
      <w:start w:val="1"/>
      <w:numFmt w:val="bullet"/>
      <w:lvlText w:val=""/>
      <w:lvlJc w:val="left"/>
      <w:pPr>
        <w:tabs>
          <w:tab w:val="num" w:pos="1440"/>
        </w:tabs>
        <w:ind w:left="1440" w:hanging="360"/>
      </w:pPr>
      <w:rPr>
        <w:rFonts w:ascii="Wingdings" w:hAnsi="Wingdings" w:hint="default"/>
      </w:rPr>
    </w:lvl>
    <w:lvl w:ilvl="2" w:tplc="A1468B06">
      <w:numFmt w:val="bullet"/>
      <w:lvlText w:val="•"/>
      <w:lvlJc w:val="left"/>
      <w:pPr>
        <w:tabs>
          <w:tab w:val="num" w:pos="2160"/>
        </w:tabs>
        <w:ind w:left="2160" w:hanging="360"/>
      </w:pPr>
      <w:rPr>
        <w:rFonts w:ascii="Arial" w:hAnsi="Arial" w:hint="default"/>
      </w:rPr>
    </w:lvl>
    <w:lvl w:ilvl="3" w:tplc="05F26886" w:tentative="1">
      <w:start w:val="1"/>
      <w:numFmt w:val="bullet"/>
      <w:lvlText w:val=""/>
      <w:lvlJc w:val="left"/>
      <w:pPr>
        <w:tabs>
          <w:tab w:val="num" w:pos="2880"/>
        </w:tabs>
        <w:ind w:left="2880" w:hanging="360"/>
      </w:pPr>
      <w:rPr>
        <w:rFonts w:ascii="Wingdings" w:hAnsi="Wingdings" w:hint="default"/>
      </w:rPr>
    </w:lvl>
    <w:lvl w:ilvl="4" w:tplc="3426112C" w:tentative="1">
      <w:start w:val="1"/>
      <w:numFmt w:val="bullet"/>
      <w:lvlText w:val=""/>
      <w:lvlJc w:val="left"/>
      <w:pPr>
        <w:tabs>
          <w:tab w:val="num" w:pos="3600"/>
        </w:tabs>
        <w:ind w:left="3600" w:hanging="360"/>
      </w:pPr>
      <w:rPr>
        <w:rFonts w:ascii="Wingdings" w:hAnsi="Wingdings" w:hint="default"/>
      </w:rPr>
    </w:lvl>
    <w:lvl w:ilvl="5" w:tplc="2E6064CE" w:tentative="1">
      <w:start w:val="1"/>
      <w:numFmt w:val="bullet"/>
      <w:lvlText w:val=""/>
      <w:lvlJc w:val="left"/>
      <w:pPr>
        <w:tabs>
          <w:tab w:val="num" w:pos="4320"/>
        </w:tabs>
        <w:ind w:left="4320" w:hanging="360"/>
      </w:pPr>
      <w:rPr>
        <w:rFonts w:ascii="Wingdings" w:hAnsi="Wingdings" w:hint="default"/>
      </w:rPr>
    </w:lvl>
    <w:lvl w:ilvl="6" w:tplc="BC5CC2D4" w:tentative="1">
      <w:start w:val="1"/>
      <w:numFmt w:val="bullet"/>
      <w:lvlText w:val=""/>
      <w:lvlJc w:val="left"/>
      <w:pPr>
        <w:tabs>
          <w:tab w:val="num" w:pos="5040"/>
        </w:tabs>
        <w:ind w:left="5040" w:hanging="360"/>
      </w:pPr>
      <w:rPr>
        <w:rFonts w:ascii="Wingdings" w:hAnsi="Wingdings" w:hint="default"/>
      </w:rPr>
    </w:lvl>
    <w:lvl w:ilvl="7" w:tplc="F1DAC52A" w:tentative="1">
      <w:start w:val="1"/>
      <w:numFmt w:val="bullet"/>
      <w:lvlText w:val=""/>
      <w:lvlJc w:val="left"/>
      <w:pPr>
        <w:tabs>
          <w:tab w:val="num" w:pos="5760"/>
        </w:tabs>
        <w:ind w:left="5760" w:hanging="360"/>
      </w:pPr>
      <w:rPr>
        <w:rFonts w:ascii="Wingdings" w:hAnsi="Wingdings" w:hint="default"/>
      </w:rPr>
    </w:lvl>
    <w:lvl w:ilvl="8" w:tplc="6254C4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D0BEF"/>
    <w:multiLevelType w:val="hybridMultilevel"/>
    <w:tmpl w:val="1F64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5C75E0"/>
    <w:multiLevelType w:val="hybridMultilevel"/>
    <w:tmpl w:val="6FBA9658"/>
    <w:lvl w:ilvl="0" w:tplc="639CB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455843"/>
    <w:multiLevelType w:val="hybridMultilevel"/>
    <w:tmpl w:val="101A04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74621E88"/>
    <w:multiLevelType w:val="hybridMultilevel"/>
    <w:tmpl w:val="EEDCFBDA"/>
    <w:lvl w:ilvl="0" w:tplc="ECB6A11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7417808">
    <w:abstractNumId w:val="3"/>
  </w:num>
  <w:num w:numId="2" w16cid:durableId="970129887">
    <w:abstractNumId w:val="0"/>
  </w:num>
  <w:num w:numId="3" w16cid:durableId="767623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7165468">
    <w:abstractNumId w:val="4"/>
  </w:num>
  <w:num w:numId="5" w16cid:durableId="499856915">
    <w:abstractNumId w:val="1"/>
  </w:num>
  <w:num w:numId="6" w16cid:durableId="515189729">
    <w:abstractNumId w:val="2"/>
  </w:num>
  <w:num w:numId="7" w16cid:durableId="1408496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90"/>
    <w:rsid w:val="00017537"/>
    <w:rsid w:val="0001784F"/>
    <w:rsid w:val="00042B61"/>
    <w:rsid w:val="00050A24"/>
    <w:rsid w:val="000729D7"/>
    <w:rsid w:val="00077DBD"/>
    <w:rsid w:val="000811DB"/>
    <w:rsid w:val="00085FF9"/>
    <w:rsid w:val="000945B2"/>
    <w:rsid w:val="000B069F"/>
    <w:rsid w:val="000D5256"/>
    <w:rsid w:val="000F7DE4"/>
    <w:rsid w:val="00113CC3"/>
    <w:rsid w:val="00151215"/>
    <w:rsid w:val="001530F4"/>
    <w:rsid w:val="001825B4"/>
    <w:rsid w:val="00193DAA"/>
    <w:rsid w:val="0019786C"/>
    <w:rsid w:val="001A6604"/>
    <w:rsid w:val="001B2CF6"/>
    <w:rsid w:val="001B5494"/>
    <w:rsid w:val="001D52BB"/>
    <w:rsid w:val="001E348B"/>
    <w:rsid w:val="00237500"/>
    <w:rsid w:val="0024007F"/>
    <w:rsid w:val="00245565"/>
    <w:rsid w:val="00255B91"/>
    <w:rsid w:val="00294D61"/>
    <w:rsid w:val="002A1A00"/>
    <w:rsid w:val="002A6AC3"/>
    <w:rsid w:val="002B2E3D"/>
    <w:rsid w:val="002B3AC0"/>
    <w:rsid w:val="0031051B"/>
    <w:rsid w:val="003107AE"/>
    <w:rsid w:val="003200CA"/>
    <w:rsid w:val="0032783D"/>
    <w:rsid w:val="00331F42"/>
    <w:rsid w:val="00333E9F"/>
    <w:rsid w:val="0036426A"/>
    <w:rsid w:val="003D755D"/>
    <w:rsid w:val="003E27D1"/>
    <w:rsid w:val="003E34C5"/>
    <w:rsid w:val="003F241B"/>
    <w:rsid w:val="00454114"/>
    <w:rsid w:val="0048655A"/>
    <w:rsid w:val="00487F03"/>
    <w:rsid w:val="004A096C"/>
    <w:rsid w:val="00514319"/>
    <w:rsid w:val="00521272"/>
    <w:rsid w:val="00555032"/>
    <w:rsid w:val="005A6BC4"/>
    <w:rsid w:val="005B5BFF"/>
    <w:rsid w:val="005C2FA2"/>
    <w:rsid w:val="005F6E5C"/>
    <w:rsid w:val="00601D55"/>
    <w:rsid w:val="00620CB1"/>
    <w:rsid w:val="00624B97"/>
    <w:rsid w:val="0066185E"/>
    <w:rsid w:val="006D32D2"/>
    <w:rsid w:val="006F6872"/>
    <w:rsid w:val="0072563B"/>
    <w:rsid w:val="007661E8"/>
    <w:rsid w:val="00777238"/>
    <w:rsid w:val="007829A8"/>
    <w:rsid w:val="00782DD6"/>
    <w:rsid w:val="007954F7"/>
    <w:rsid w:val="007F6524"/>
    <w:rsid w:val="00805D24"/>
    <w:rsid w:val="008131C8"/>
    <w:rsid w:val="008156CC"/>
    <w:rsid w:val="008349F3"/>
    <w:rsid w:val="00871F97"/>
    <w:rsid w:val="0087557F"/>
    <w:rsid w:val="008A3663"/>
    <w:rsid w:val="008A7C90"/>
    <w:rsid w:val="008B3624"/>
    <w:rsid w:val="008E6D2C"/>
    <w:rsid w:val="008F7D15"/>
    <w:rsid w:val="009001F2"/>
    <w:rsid w:val="009126EB"/>
    <w:rsid w:val="00917694"/>
    <w:rsid w:val="00933309"/>
    <w:rsid w:val="00963146"/>
    <w:rsid w:val="00975FB4"/>
    <w:rsid w:val="009907A5"/>
    <w:rsid w:val="00A16BB1"/>
    <w:rsid w:val="00A35BED"/>
    <w:rsid w:val="00A36E62"/>
    <w:rsid w:val="00A817C7"/>
    <w:rsid w:val="00A83589"/>
    <w:rsid w:val="00AB25E7"/>
    <w:rsid w:val="00AD534D"/>
    <w:rsid w:val="00AF2596"/>
    <w:rsid w:val="00B826D5"/>
    <w:rsid w:val="00BA2786"/>
    <w:rsid w:val="00BD133F"/>
    <w:rsid w:val="00BD6758"/>
    <w:rsid w:val="00BF2EE1"/>
    <w:rsid w:val="00C3487D"/>
    <w:rsid w:val="00C4025A"/>
    <w:rsid w:val="00C73A94"/>
    <w:rsid w:val="00CB0455"/>
    <w:rsid w:val="00CF4301"/>
    <w:rsid w:val="00D003F1"/>
    <w:rsid w:val="00D07DFE"/>
    <w:rsid w:val="00D24534"/>
    <w:rsid w:val="00D26C4C"/>
    <w:rsid w:val="00D7312F"/>
    <w:rsid w:val="00E5409F"/>
    <w:rsid w:val="00E614B4"/>
    <w:rsid w:val="00E72927"/>
    <w:rsid w:val="00E8740F"/>
    <w:rsid w:val="00EB0401"/>
    <w:rsid w:val="00EC0D13"/>
    <w:rsid w:val="00EF635D"/>
    <w:rsid w:val="00EF6EE1"/>
    <w:rsid w:val="00F1390A"/>
    <w:rsid w:val="00F15403"/>
    <w:rsid w:val="00F91EB4"/>
    <w:rsid w:val="00FA1E75"/>
    <w:rsid w:val="00FE6194"/>
    <w:rsid w:val="0B4BE6C0"/>
    <w:rsid w:val="1A557A28"/>
    <w:rsid w:val="30BD5087"/>
    <w:rsid w:val="4E551E08"/>
    <w:rsid w:val="7E1B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87FD"/>
  <w15:chartTrackingRefBased/>
  <w15:docId w15:val="{E19EF4E6-6858-4B26-86B7-116158AA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C90"/>
  </w:style>
  <w:style w:type="paragraph" w:styleId="Heading1">
    <w:name w:val="heading 1"/>
    <w:basedOn w:val="Normal"/>
    <w:next w:val="Normal"/>
    <w:link w:val="Heading1Char"/>
    <w:uiPriority w:val="9"/>
    <w:qFormat/>
    <w:rsid w:val="008A7C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9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A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C90"/>
    <w:rPr>
      <w:color w:val="0563C1" w:themeColor="hyperlink"/>
      <w:u w:val="single"/>
    </w:rPr>
  </w:style>
  <w:style w:type="character" w:styleId="UnresolvedMention">
    <w:name w:val="Unresolved Mention"/>
    <w:basedOn w:val="DefaultParagraphFont"/>
    <w:uiPriority w:val="99"/>
    <w:semiHidden/>
    <w:unhideWhenUsed/>
    <w:rsid w:val="008A7C90"/>
    <w:rPr>
      <w:color w:val="605E5C"/>
      <w:shd w:val="clear" w:color="auto" w:fill="E1DFDD"/>
    </w:rPr>
  </w:style>
  <w:style w:type="paragraph" w:styleId="ListParagraph">
    <w:name w:val="List Paragraph"/>
    <w:basedOn w:val="Normal"/>
    <w:uiPriority w:val="34"/>
    <w:qFormat/>
    <w:rsid w:val="00871F97"/>
    <w:pPr>
      <w:spacing w:after="0" w:line="240" w:lineRule="auto"/>
      <w:ind w:left="720"/>
      <w:contextualSpacing/>
    </w:pPr>
    <w:rPr>
      <w:rFonts w:ascii="Times New Roman" w:hAnsi="Times New Roman"/>
      <w:sz w:val="24"/>
    </w:rPr>
  </w:style>
  <w:style w:type="paragraph" w:styleId="NoSpacing">
    <w:name w:val="No Spacing"/>
    <w:link w:val="NoSpacingChar"/>
    <w:uiPriority w:val="1"/>
    <w:qFormat/>
    <w:rsid w:val="001B5494"/>
    <w:pPr>
      <w:spacing w:after="0" w:line="240" w:lineRule="auto"/>
    </w:pPr>
  </w:style>
  <w:style w:type="character" w:customStyle="1" w:styleId="NoSpacingChar">
    <w:name w:val="No Spacing Char"/>
    <w:basedOn w:val="DefaultParagraphFont"/>
    <w:link w:val="NoSpacing"/>
    <w:uiPriority w:val="1"/>
    <w:rsid w:val="001B5494"/>
  </w:style>
  <w:style w:type="paragraph" w:customStyle="1" w:styleId="EndNoteBibliography">
    <w:name w:val="EndNote Bibliography"/>
    <w:basedOn w:val="Normal"/>
    <w:link w:val="EndNoteBibliographyChar"/>
    <w:rsid w:val="001B5494"/>
    <w:pPr>
      <w:spacing w:after="200" w:line="240" w:lineRule="auto"/>
    </w:pPr>
    <w:rPr>
      <w:rFonts w:ascii="Calibri" w:hAnsi="Calibri" w:cs="Calibri"/>
      <w:noProof/>
    </w:rPr>
  </w:style>
  <w:style w:type="character" w:customStyle="1" w:styleId="EndNoteBibliographyChar">
    <w:name w:val="EndNote Bibliography Char"/>
    <w:basedOn w:val="NoSpacingChar"/>
    <w:link w:val="EndNoteBibliography"/>
    <w:rsid w:val="001B549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65977">
      <w:bodyDiv w:val="1"/>
      <w:marLeft w:val="0"/>
      <w:marRight w:val="0"/>
      <w:marTop w:val="0"/>
      <w:marBottom w:val="0"/>
      <w:divBdr>
        <w:top w:val="none" w:sz="0" w:space="0" w:color="auto"/>
        <w:left w:val="none" w:sz="0" w:space="0" w:color="auto"/>
        <w:bottom w:val="none" w:sz="0" w:space="0" w:color="auto"/>
        <w:right w:val="none" w:sz="0" w:space="0" w:color="auto"/>
      </w:divBdr>
      <w:divsChild>
        <w:div w:id="1573733278">
          <w:marLeft w:val="2160"/>
          <w:marRight w:val="0"/>
          <w:marTop w:val="120"/>
          <w:marBottom w:val="120"/>
          <w:divBdr>
            <w:top w:val="none" w:sz="0" w:space="0" w:color="auto"/>
            <w:left w:val="none" w:sz="0" w:space="0" w:color="auto"/>
            <w:bottom w:val="none" w:sz="0" w:space="0" w:color="auto"/>
            <w:right w:val="none" w:sz="0" w:space="0" w:color="auto"/>
          </w:divBdr>
        </w:div>
        <w:div w:id="1815946016">
          <w:marLeft w:val="2160"/>
          <w:marRight w:val="0"/>
          <w:marTop w:val="120"/>
          <w:marBottom w:val="120"/>
          <w:divBdr>
            <w:top w:val="none" w:sz="0" w:space="0" w:color="auto"/>
            <w:left w:val="none" w:sz="0" w:space="0" w:color="auto"/>
            <w:bottom w:val="none" w:sz="0" w:space="0" w:color="auto"/>
            <w:right w:val="none" w:sz="0" w:space="0" w:color="auto"/>
          </w:divBdr>
        </w:div>
      </w:divsChild>
    </w:div>
    <w:div w:id="319895019">
      <w:bodyDiv w:val="1"/>
      <w:marLeft w:val="0"/>
      <w:marRight w:val="0"/>
      <w:marTop w:val="0"/>
      <w:marBottom w:val="0"/>
      <w:divBdr>
        <w:top w:val="none" w:sz="0" w:space="0" w:color="auto"/>
        <w:left w:val="none" w:sz="0" w:space="0" w:color="auto"/>
        <w:bottom w:val="none" w:sz="0" w:space="0" w:color="auto"/>
        <w:right w:val="none" w:sz="0" w:space="0" w:color="auto"/>
      </w:divBdr>
    </w:div>
    <w:div w:id="545919095">
      <w:bodyDiv w:val="1"/>
      <w:marLeft w:val="0"/>
      <w:marRight w:val="0"/>
      <w:marTop w:val="0"/>
      <w:marBottom w:val="0"/>
      <w:divBdr>
        <w:top w:val="none" w:sz="0" w:space="0" w:color="auto"/>
        <w:left w:val="none" w:sz="0" w:space="0" w:color="auto"/>
        <w:bottom w:val="none" w:sz="0" w:space="0" w:color="auto"/>
        <w:right w:val="none" w:sz="0" w:space="0" w:color="auto"/>
      </w:divBdr>
      <w:divsChild>
        <w:div w:id="525288927">
          <w:marLeft w:val="2160"/>
          <w:marRight w:val="0"/>
          <w:marTop w:val="120"/>
          <w:marBottom w:val="120"/>
          <w:divBdr>
            <w:top w:val="none" w:sz="0" w:space="0" w:color="auto"/>
            <w:left w:val="none" w:sz="0" w:space="0" w:color="auto"/>
            <w:bottom w:val="none" w:sz="0" w:space="0" w:color="auto"/>
            <w:right w:val="none" w:sz="0" w:space="0" w:color="auto"/>
          </w:divBdr>
        </w:div>
      </w:divsChild>
    </w:div>
    <w:div w:id="740982085">
      <w:bodyDiv w:val="1"/>
      <w:marLeft w:val="0"/>
      <w:marRight w:val="0"/>
      <w:marTop w:val="0"/>
      <w:marBottom w:val="0"/>
      <w:divBdr>
        <w:top w:val="none" w:sz="0" w:space="0" w:color="auto"/>
        <w:left w:val="none" w:sz="0" w:space="0" w:color="auto"/>
        <w:bottom w:val="none" w:sz="0" w:space="0" w:color="auto"/>
        <w:right w:val="none" w:sz="0" w:space="0" w:color="auto"/>
      </w:divBdr>
      <w:divsChild>
        <w:div w:id="365908205">
          <w:marLeft w:val="3600"/>
          <w:marRight w:val="0"/>
          <w:marTop w:val="120"/>
          <w:marBottom w:val="120"/>
          <w:divBdr>
            <w:top w:val="none" w:sz="0" w:space="0" w:color="auto"/>
            <w:left w:val="none" w:sz="0" w:space="0" w:color="auto"/>
            <w:bottom w:val="none" w:sz="0" w:space="0" w:color="auto"/>
            <w:right w:val="none" w:sz="0" w:space="0" w:color="auto"/>
          </w:divBdr>
        </w:div>
        <w:div w:id="1013188296">
          <w:marLeft w:val="2160"/>
          <w:marRight w:val="0"/>
          <w:marTop w:val="120"/>
          <w:marBottom w:val="120"/>
          <w:divBdr>
            <w:top w:val="none" w:sz="0" w:space="0" w:color="auto"/>
            <w:left w:val="none" w:sz="0" w:space="0" w:color="auto"/>
            <w:bottom w:val="none" w:sz="0" w:space="0" w:color="auto"/>
            <w:right w:val="none" w:sz="0" w:space="0" w:color="auto"/>
          </w:divBdr>
        </w:div>
        <w:div w:id="1275552790">
          <w:marLeft w:val="2160"/>
          <w:marRight w:val="0"/>
          <w:marTop w:val="120"/>
          <w:marBottom w:val="120"/>
          <w:divBdr>
            <w:top w:val="none" w:sz="0" w:space="0" w:color="auto"/>
            <w:left w:val="none" w:sz="0" w:space="0" w:color="auto"/>
            <w:bottom w:val="none" w:sz="0" w:space="0" w:color="auto"/>
            <w:right w:val="none" w:sz="0" w:space="0" w:color="auto"/>
          </w:divBdr>
        </w:div>
        <w:div w:id="2100104100">
          <w:marLeft w:val="2160"/>
          <w:marRight w:val="0"/>
          <w:marTop w:val="120"/>
          <w:marBottom w:val="120"/>
          <w:divBdr>
            <w:top w:val="none" w:sz="0" w:space="0" w:color="auto"/>
            <w:left w:val="none" w:sz="0" w:space="0" w:color="auto"/>
            <w:bottom w:val="none" w:sz="0" w:space="0" w:color="auto"/>
            <w:right w:val="none" w:sz="0" w:space="0" w:color="auto"/>
          </w:divBdr>
        </w:div>
      </w:divsChild>
    </w:div>
    <w:div w:id="769273137">
      <w:bodyDiv w:val="1"/>
      <w:marLeft w:val="0"/>
      <w:marRight w:val="0"/>
      <w:marTop w:val="0"/>
      <w:marBottom w:val="0"/>
      <w:divBdr>
        <w:top w:val="none" w:sz="0" w:space="0" w:color="auto"/>
        <w:left w:val="none" w:sz="0" w:space="0" w:color="auto"/>
        <w:bottom w:val="none" w:sz="0" w:space="0" w:color="auto"/>
        <w:right w:val="none" w:sz="0" w:space="0" w:color="auto"/>
      </w:divBdr>
    </w:div>
    <w:div w:id="783309845">
      <w:bodyDiv w:val="1"/>
      <w:marLeft w:val="0"/>
      <w:marRight w:val="0"/>
      <w:marTop w:val="0"/>
      <w:marBottom w:val="0"/>
      <w:divBdr>
        <w:top w:val="none" w:sz="0" w:space="0" w:color="auto"/>
        <w:left w:val="none" w:sz="0" w:space="0" w:color="auto"/>
        <w:bottom w:val="none" w:sz="0" w:space="0" w:color="auto"/>
        <w:right w:val="none" w:sz="0" w:space="0" w:color="auto"/>
      </w:divBdr>
      <w:divsChild>
        <w:div w:id="473184374">
          <w:marLeft w:val="2160"/>
          <w:marRight w:val="0"/>
          <w:marTop w:val="120"/>
          <w:marBottom w:val="120"/>
          <w:divBdr>
            <w:top w:val="none" w:sz="0" w:space="0" w:color="auto"/>
            <w:left w:val="none" w:sz="0" w:space="0" w:color="auto"/>
            <w:bottom w:val="none" w:sz="0" w:space="0" w:color="auto"/>
            <w:right w:val="none" w:sz="0" w:space="0" w:color="auto"/>
          </w:divBdr>
        </w:div>
      </w:divsChild>
    </w:div>
    <w:div w:id="798764325">
      <w:bodyDiv w:val="1"/>
      <w:marLeft w:val="0"/>
      <w:marRight w:val="0"/>
      <w:marTop w:val="0"/>
      <w:marBottom w:val="0"/>
      <w:divBdr>
        <w:top w:val="none" w:sz="0" w:space="0" w:color="auto"/>
        <w:left w:val="none" w:sz="0" w:space="0" w:color="auto"/>
        <w:bottom w:val="none" w:sz="0" w:space="0" w:color="auto"/>
        <w:right w:val="none" w:sz="0" w:space="0" w:color="auto"/>
      </w:divBdr>
      <w:divsChild>
        <w:div w:id="803932419">
          <w:marLeft w:val="2160"/>
          <w:marRight w:val="0"/>
          <w:marTop w:val="120"/>
          <w:marBottom w:val="120"/>
          <w:divBdr>
            <w:top w:val="none" w:sz="0" w:space="0" w:color="auto"/>
            <w:left w:val="none" w:sz="0" w:space="0" w:color="auto"/>
            <w:bottom w:val="none" w:sz="0" w:space="0" w:color="auto"/>
            <w:right w:val="none" w:sz="0" w:space="0" w:color="auto"/>
          </w:divBdr>
        </w:div>
      </w:divsChild>
    </w:div>
    <w:div w:id="1086876665">
      <w:bodyDiv w:val="1"/>
      <w:marLeft w:val="0"/>
      <w:marRight w:val="0"/>
      <w:marTop w:val="0"/>
      <w:marBottom w:val="0"/>
      <w:divBdr>
        <w:top w:val="none" w:sz="0" w:space="0" w:color="auto"/>
        <w:left w:val="none" w:sz="0" w:space="0" w:color="auto"/>
        <w:bottom w:val="none" w:sz="0" w:space="0" w:color="auto"/>
        <w:right w:val="none" w:sz="0" w:space="0" w:color="auto"/>
      </w:divBdr>
      <w:divsChild>
        <w:div w:id="194317755">
          <w:marLeft w:val="2160"/>
          <w:marRight w:val="0"/>
          <w:marTop w:val="120"/>
          <w:marBottom w:val="120"/>
          <w:divBdr>
            <w:top w:val="none" w:sz="0" w:space="0" w:color="auto"/>
            <w:left w:val="none" w:sz="0" w:space="0" w:color="auto"/>
            <w:bottom w:val="none" w:sz="0" w:space="0" w:color="auto"/>
            <w:right w:val="none" w:sz="0" w:space="0" w:color="auto"/>
          </w:divBdr>
        </w:div>
      </w:divsChild>
    </w:div>
    <w:div w:id="1355351413">
      <w:bodyDiv w:val="1"/>
      <w:marLeft w:val="0"/>
      <w:marRight w:val="0"/>
      <w:marTop w:val="0"/>
      <w:marBottom w:val="0"/>
      <w:divBdr>
        <w:top w:val="none" w:sz="0" w:space="0" w:color="auto"/>
        <w:left w:val="none" w:sz="0" w:space="0" w:color="auto"/>
        <w:bottom w:val="none" w:sz="0" w:space="0" w:color="auto"/>
        <w:right w:val="none" w:sz="0" w:space="0" w:color="auto"/>
      </w:divBdr>
    </w:div>
    <w:div w:id="1431466009">
      <w:bodyDiv w:val="1"/>
      <w:marLeft w:val="0"/>
      <w:marRight w:val="0"/>
      <w:marTop w:val="0"/>
      <w:marBottom w:val="0"/>
      <w:divBdr>
        <w:top w:val="none" w:sz="0" w:space="0" w:color="auto"/>
        <w:left w:val="none" w:sz="0" w:space="0" w:color="auto"/>
        <w:bottom w:val="none" w:sz="0" w:space="0" w:color="auto"/>
        <w:right w:val="none" w:sz="0" w:space="0" w:color="auto"/>
      </w:divBdr>
      <w:divsChild>
        <w:div w:id="1684045031">
          <w:marLeft w:val="2160"/>
          <w:marRight w:val="0"/>
          <w:marTop w:val="120"/>
          <w:marBottom w:val="120"/>
          <w:divBdr>
            <w:top w:val="none" w:sz="0" w:space="0" w:color="auto"/>
            <w:left w:val="none" w:sz="0" w:space="0" w:color="auto"/>
            <w:bottom w:val="none" w:sz="0" w:space="0" w:color="auto"/>
            <w:right w:val="none" w:sz="0" w:space="0" w:color="auto"/>
          </w:divBdr>
        </w:div>
      </w:divsChild>
    </w:div>
    <w:div w:id="1557474755">
      <w:bodyDiv w:val="1"/>
      <w:marLeft w:val="0"/>
      <w:marRight w:val="0"/>
      <w:marTop w:val="0"/>
      <w:marBottom w:val="0"/>
      <w:divBdr>
        <w:top w:val="none" w:sz="0" w:space="0" w:color="auto"/>
        <w:left w:val="none" w:sz="0" w:space="0" w:color="auto"/>
        <w:bottom w:val="none" w:sz="0" w:space="0" w:color="auto"/>
        <w:right w:val="none" w:sz="0" w:space="0" w:color="auto"/>
      </w:divBdr>
    </w:div>
    <w:div w:id="1625499928">
      <w:bodyDiv w:val="1"/>
      <w:marLeft w:val="0"/>
      <w:marRight w:val="0"/>
      <w:marTop w:val="0"/>
      <w:marBottom w:val="0"/>
      <w:divBdr>
        <w:top w:val="none" w:sz="0" w:space="0" w:color="auto"/>
        <w:left w:val="none" w:sz="0" w:space="0" w:color="auto"/>
        <w:bottom w:val="none" w:sz="0" w:space="0" w:color="auto"/>
        <w:right w:val="none" w:sz="0" w:space="0" w:color="auto"/>
      </w:divBdr>
      <w:divsChild>
        <w:div w:id="356925429">
          <w:marLeft w:val="2160"/>
          <w:marRight w:val="0"/>
          <w:marTop w:val="120"/>
          <w:marBottom w:val="120"/>
          <w:divBdr>
            <w:top w:val="none" w:sz="0" w:space="0" w:color="auto"/>
            <w:left w:val="none" w:sz="0" w:space="0" w:color="auto"/>
            <w:bottom w:val="none" w:sz="0" w:space="0" w:color="auto"/>
            <w:right w:val="none" w:sz="0" w:space="0" w:color="auto"/>
          </w:divBdr>
        </w:div>
        <w:div w:id="447823109">
          <w:marLeft w:val="2160"/>
          <w:marRight w:val="0"/>
          <w:marTop w:val="120"/>
          <w:marBottom w:val="120"/>
          <w:divBdr>
            <w:top w:val="none" w:sz="0" w:space="0" w:color="auto"/>
            <w:left w:val="none" w:sz="0" w:space="0" w:color="auto"/>
            <w:bottom w:val="none" w:sz="0" w:space="0" w:color="auto"/>
            <w:right w:val="none" w:sz="0" w:space="0" w:color="auto"/>
          </w:divBdr>
        </w:div>
        <w:div w:id="888109687">
          <w:marLeft w:val="3600"/>
          <w:marRight w:val="0"/>
          <w:marTop w:val="120"/>
          <w:marBottom w:val="120"/>
          <w:divBdr>
            <w:top w:val="none" w:sz="0" w:space="0" w:color="auto"/>
            <w:left w:val="none" w:sz="0" w:space="0" w:color="auto"/>
            <w:bottom w:val="none" w:sz="0" w:space="0" w:color="auto"/>
            <w:right w:val="none" w:sz="0" w:space="0" w:color="auto"/>
          </w:divBdr>
        </w:div>
        <w:div w:id="1454983026">
          <w:marLeft w:val="2160"/>
          <w:marRight w:val="0"/>
          <w:marTop w:val="120"/>
          <w:marBottom w:val="120"/>
          <w:divBdr>
            <w:top w:val="none" w:sz="0" w:space="0" w:color="auto"/>
            <w:left w:val="none" w:sz="0" w:space="0" w:color="auto"/>
            <w:bottom w:val="none" w:sz="0" w:space="0" w:color="auto"/>
            <w:right w:val="none" w:sz="0" w:space="0" w:color="auto"/>
          </w:divBdr>
        </w:div>
      </w:divsChild>
    </w:div>
    <w:div w:id="1857768486">
      <w:bodyDiv w:val="1"/>
      <w:marLeft w:val="0"/>
      <w:marRight w:val="0"/>
      <w:marTop w:val="0"/>
      <w:marBottom w:val="0"/>
      <w:divBdr>
        <w:top w:val="none" w:sz="0" w:space="0" w:color="auto"/>
        <w:left w:val="none" w:sz="0" w:space="0" w:color="auto"/>
        <w:bottom w:val="none" w:sz="0" w:space="0" w:color="auto"/>
        <w:right w:val="none" w:sz="0" w:space="0" w:color="auto"/>
      </w:divBdr>
    </w:div>
    <w:div w:id="19069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77d03b-9c2a-4e1b-8303-82e60b87e29f">
      <Terms xmlns="http://schemas.microsoft.com/office/infopath/2007/PartnerControls"/>
    </lcf76f155ced4ddcb4097134ff3c332f>
    <TaxCatchAll xmlns="3b2fd668-2b39-4d10-8078-969de8608b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647D8D82E15144927E638D6E298425" ma:contentTypeVersion="13" ma:contentTypeDescription="Create a new document." ma:contentTypeScope="" ma:versionID="bd5060f893aa1e05478a8b6cbe8e99a1">
  <xsd:schema xmlns:xsd="http://www.w3.org/2001/XMLSchema" xmlns:xs="http://www.w3.org/2001/XMLSchema" xmlns:p="http://schemas.microsoft.com/office/2006/metadata/properties" xmlns:ns2="9777d03b-9c2a-4e1b-8303-82e60b87e29f" xmlns:ns3="3b2fd668-2b39-4d10-8078-969de8608b17" targetNamespace="http://schemas.microsoft.com/office/2006/metadata/properties" ma:root="true" ma:fieldsID="a3f0bced4f1784cb7bac80736920e922" ns2:_="" ns3:_="">
    <xsd:import namespace="9777d03b-9c2a-4e1b-8303-82e60b87e29f"/>
    <xsd:import namespace="3b2fd668-2b39-4d10-8078-969de8608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7d03b-9c2a-4e1b-8303-82e60b87e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9112196-7e5b-431e-8fea-f50fb91bcef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2fd668-2b39-4d10-8078-969de8608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798baae-914c-4bee-be4b-b9672f46821e}" ma:internalName="TaxCatchAll" ma:showField="CatchAllData" ma:web="3b2fd668-2b39-4d10-8078-969de8608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2B8E45-4B7B-44CA-883D-6EABF409C33D}">
  <ds:schemaRefs>
    <ds:schemaRef ds:uri="http://schemas.microsoft.com/sharepoint/v3/contenttype/forms"/>
  </ds:schemaRefs>
</ds:datastoreItem>
</file>

<file path=customXml/itemProps2.xml><?xml version="1.0" encoding="utf-8"?>
<ds:datastoreItem xmlns:ds="http://schemas.openxmlformats.org/officeDocument/2006/customXml" ds:itemID="{AC888A28-5B10-48BE-B8D6-480C75C53C84}">
  <ds:schemaRefs>
    <ds:schemaRef ds:uri="http://schemas.microsoft.com/office/2006/metadata/properties"/>
    <ds:schemaRef ds:uri="http://schemas.microsoft.com/office/infopath/2007/PartnerControls"/>
    <ds:schemaRef ds:uri="9777d03b-9c2a-4e1b-8303-82e60b87e29f"/>
    <ds:schemaRef ds:uri="3b2fd668-2b39-4d10-8078-969de8608b17"/>
  </ds:schemaRefs>
</ds:datastoreItem>
</file>

<file path=customXml/itemProps3.xml><?xml version="1.0" encoding="utf-8"?>
<ds:datastoreItem xmlns:ds="http://schemas.openxmlformats.org/officeDocument/2006/customXml" ds:itemID="{87372812-552F-49EF-9ABC-D35F5C71E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7d03b-9c2a-4e1b-8303-82e60b87e29f"/>
    <ds:schemaRef ds:uri="3b2fd668-2b39-4d10-8078-969de860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f8a7bc4-e337-47a5-a0fc-0d512c0e05f1}" enabled="0" method="" siteId="{3f8a7bc4-e337-47a5-a0fc-0d512c0e05f1}"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Cimone E Parker</dc:creator>
  <cp:keywords/>
  <dc:description/>
  <cp:lastModifiedBy>Natalie A Tran</cp:lastModifiedBy>
  <cp:revision>4</cp:revision>
  <dcterms:created xsi:type="dcterms:W3CDTF">2026-02-12T22:15:00Z</dcterms:created>
  <dcterms:modified xsi:type="dcterms:W3CDTF">2026-05-05T21:23:00Z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0x0101007C647D8D82E15144927E638D6E298425</vt:lpwstr>
  </property>
  <property fmtid="{D5CDD505-2E9C-101B-9397-08002B2CF9AE}" pid="3" name="MediaServiceImageTags">
    <vt:lpwstr/>
  </property>
</Properties>
</file>