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10EA" w14:textId="68130E90" w:rsidR="00245565" w:rsidRPr="009725E3" w:rsidRDefault="00245565" w:rsidP="006D1AE4">
      <w:pPr>
        <w:widowControl w:val="0"/>
        <w:rPr>
          <w:rFonts w:ascii="Aptos" w:eastAsia="Calibri" w:hAnsi="Aptos" w:cstheme="minorHAnsi"/>
          <w:color w:val="4472C4" w:themeColor="accent1"/>
        </w:rPr>
      </w:pPr>
      <w:r w:rsidRPr="009725E3">
        <w:rPr>
          <w:rFonts w:ascii="Aptos" w:eastAsia="Calibri" w:hAnsi="Aptos" w:cstheme="minorHAnsi"/>
          <w:color w:val="4472C4" w:themeColor="accent1"/>
        </w:rPr>
        <w:t>Delivery Science Grants Program</w:t>
      </w:r>
    </w:p>
    <w:p w14:paraId="2466B9C1" w14:textId="4A599E13" w:rsidR="008E6D2C" w:rsidRPr="009725E3" w:rsidRDefault="00C73A94" w:rsidP="008E6D2C">
      <w:pPr>
        <w:rPr>
          <w:rFonts w:ascii="Aptos" w:hAnsi="Aptos" w:cstheme="minorHAnsi"/>
        </w:rPr>
      </w:pPr>
      <w:r w:rsidRPr="009725E3">
        <w:rPr>
          <w:rFonts w:ascii="Aptos" w:eastAsia="Calibri" w:hAnsi="Aptos" w:cstheme="minorHAnsi"/>
          <w:color w:val="4472C4" w:themeColor="accent1"/>
        </w:rPr>
        <w:t>NEWSLINE TITLE</w:t>
      </w:r>
      <w:r w:rsidR="00480693" w:rsidRPr="009725E3">
        <w:rPr>
          <w:rFonts w:ascii="Aptos" w:eastAsia="Calibri" w:hAnsi="Aptos" w:cstheme="minorHAnsi"/>
          <w:color w:val="4472C4" w:themeColor="accent1"/>
        </w:rPr>
        <w:t xml:space="preserve">: </w:t>
      </w:r>
      <w:r w:rsidR="00480693" w:rsidRPr="009725E3">
        <w:rPr>
          <w:rFonts w:ascii="Aptos" w:eastAsia="Arial" w:hAnsi="Aptos" w:cstheme="minorHAnsi"/>
        </w:rPr>
        <w:t xml:space="preserve">Proactive outreach by a clinical pharmacist applying an </w:t>
      </w:r>
      <w:r w:rsidR="00480693" w:rsidRPr="009725E3">
        <w:rPr>
          <w:rFonts w:ascii="Aptos" w:eastAsia="GuardianTextEgypGR-Regular" w:hAnsi="Aptos" w:cstheme="minorHAnsi"/>
        </w:rPr>
        <w:t xml:space="preserve">evidence-based </w:t>
      </w:r>
      <w:r w:rsidR="00480693" w:rsidRPr="009725E3">
        <w:rPr>
          <w:rFonts w:ascii="Aptos" w:hAnsi="Aptos" w:cstheme="minorHAnsi"/>
        </w:rPr>
        <w:t xml:space="preserve">hypoglycemia prevention algorithm results </w:t>
      </w:r>
      <w:r w:rsidR="00480693" w:rsidRPr="009725E3">
        <w:rPr>
          <w:rFonts w:ascii="Aptos" w:eastAsia="Arial" w:hAnsi="Aptos" w:cstheme="minorHAnsi"/>
        </w:rPr>
        <w:t>in safer diabetes regimens among patients with type 2 diabetes (T2D) at high risk for hypoglycemia.</w:t>
      </w:r>
    </w:p>
    <w:p w14:paraId="3ACE6DE9" w14:textId="1C5792FE" w:rsidR="00BA2786" w:rsidRPr="009725E3" w:rsidRDefault="00480693" w:rsidP="002F2BB4">
      <w:pPr>
        <w:rPr>
          <w:rFonts w:ascii="Aptos" w:hAnsi="Aptos" w:cstheme="minorHAnsi"/>
          <w:color w:val="000000"/>
          <w:bdr w:val="none" w:sz="0" w:space="0" w:color="auto" w:frame="1"/>
        </w:rPr>
      </w:pPr>
      <w:r w:rsidRPr="009725E3">
        <w:rPr>
          <w:rFonts w:ascii="Aptos" w:hAnsi="Aptos" w:cstheme="minorHAnsi"/>
          <w:color w:val="000000"/>
          <w:bdr w:val="none" w:sz="0" w:space="0" w:color="auto" w:frame="1"/>
        </w:rPr>
        <w:t xml:space="preserve">Lisa K. Gilliam MD, PhD, Minnie W. Chen, PharmD, </w:t>
      </w:r>
      <w:r w:rsidRPr="009725E3">
        <w:rPr>
          <w:rStyle w:val="Strong"/>
          <w:rFonts w:ascii="Aptos" w:eastAsia="Times New Roman" w:hAnsi="Aptos" w:cstheme="minorHAnsi"/>
          <w:b w:val="0"/>
          <w:bCs w:val="0"/>
          <w:color w:val="000000"/>
        </w:rPr>
        <w:t>Melissa M. Parker, MS,</w:t>
      </w:r>
      <w:r w:rsidRPr="009725E3">
        <w:rPr>
          <w:rStyle w:val="Strong"/>
          <w:rFonts w:ascii="Aptos" w:eastAsia="Times New Roman" w:hAnsi="Aptos" w:cstheme="minorHAnsi"/>
          <w:color w:val="000000"/>
        </w:rPr>
        <w:t xml:space="preserve"> </w:t>
      </w:r>
      <w:r w:rsidRPr="009725E3">
        <w:rPr>
          <w:rStyle w:val="Strong"/>
          <w:rFonts w:ascii="Aptos" w:eastAsia="Times New Roman" w:hAnsi="Aptos" w:cstheme="minorHAnsi"/>
          <w:b w:val="0"/>
          <w:bCs w:val="0"/>
          <w:color w:val="000000"/>
        </w:rPr>
        <w:t>Andrew J. Karter, PhD</w:t>
      </w:r>
      <w:r w:rsidR="00DF715C" w:rsidRPr="009725E3">
        <w:rPr>
          <w:rStyle w:val="Strong"/>
          <w:rFonts w:ascii="Aptos" w:eastAsia="Times New Roman" w:hAnsi="Aptos" w:cstheme="minorHAnsi"/>
          <w:b w:val="0"/>
          <w:bCs w:val="0"/>
          <w:color w:val="000000"/>
        </w:rPr>
        <w:t xml:space="preserve">, </w:t>
      </w:r>
      <w:r w:rsidR="00DF715C" w:rsidRPr="009725E3">
        <w:rPr>
          <w:rFonts w:ascii="Aptos" w:hAnsi="Aptos" w:cstheme="minorHAnsi"/>
          <w:color w:val="000000"/>
          <w:bdr w:val="none" w:sz="0" w:space="0" w:color="auto" w:frame="1"/>
        </w:rPr>
        <w:t>Richard W. Grant MD, MPH</w:t>
      </w:r>
    </w:p>
    <w:p w14:paraId="093D80FB" w14:textId="42458433" w:rsidR="00BA2786" w:rsidRPr="009725E3" w:rsidRDefault="00BA2786" w:rsidP="00D24534">
      <w:pPr>
        <w:spacing w:after="0"/>
        <w:rPr>
          <w:rFonts w:ascii="Aptos" w:hAnsi="Aptos" w:cstheme="minorHAnsi"/>
        </w:rPr>
      </w:pPr>
      <w:r w:rsidRPr="009725E3">
        <w:rPr>
          <w:rFonts w:ascii="Aptos" w:hAnsi="Aptos" w:cstheme="minorHAnsi"/>
        </w:rPr>
        <w:t>Project start and end dates:</w:t>
      </w:r>
      <w:r w:rsidR="00480693" w:rsidRPr="009725E3">
        <w:rPr>
          <w:rFonts w:ascii="Aptos" w:hAnsi="Aptos" w:cstheme="minorHAnsi"/>
        </w:rPr>
        <w:t xml:space="preserve"> </w:t>
      </w:r>
      <w:r w:rsidR="00480693" w:rsidRPr="009725E3">
        <w:rPr>
          <w:rFonts w:ascii="Aptos" w:hAnsi="Aptos" w:cstheme="minorHAnsi"/>
          <w:b/>
          <w:bCs/>
        </w:rPr>
        <w:t xml:space="preserve">January 1, </w:t>
      </w:r>
      <w:proofErr w:type="gramStart"/>
      <w:r w:rsidR="00480693" w:rsidRPr="009725E3">
        <w:rPr>
          <w:rFonts w:ascii="Aptos" w:hAnsi="Aptos" w:cstheme="minorHAnsi"/>
          <w:b/>
          <w:bCs/>
        </w:rPr>
        <w:t>2023</w:t>
      </w:r>
      <w:proofErr w:type="gramEnd"/>
      <w:r w:rsidR="00480693" w:rsidRPr="009725E3">
        <w:rPr>
          <w:rFonts w:ascii="Aptos" w:hAnsi="Aptos" w:cstheme="minorHAnsi"/>
          <w:b/>
          <w:bCs/>
        </w:rPr>
        <w:t xml:space="preserve"> to December 31, 2024</w:t>
      </w:r>
    </w:p>
    <w:p w14:paraId="7D76C285" w14:textId="77777777" w:rsidR="00BA2786" w:rsidRPr="009725E3" w:rsidRDefault="00BA2786" w:rsidP="008D3599">
      <w:pPr>
        <w:widowControl w:val="0"/>
        <w:spacing w:after="0"/>
        <w:rPr>
          <w:rFonts w:ascii="Aptos" w:hAnsi="Aptos"/>
        </w:rPr>
      </w:pPr>
    </w:p>
    <w:tbl>
      <w:tblPr>
        <w:tblStyle w:val="TableGrid"/>
        <w:tblW w:w="10705" w:type="dxa"/>
        <w:jc w:val="center"/>
        <w:tblLook w:val="04A0" w:firstRow="1" w:lastRow="0" w:firstColumn="1" w:lastColumn="0" w:noHBand="0" w:noVBand="1"/>
      </w:tblPr>
      <w:tblGrid>
        <w:gridCol w:w="2028"/>
        <w:gridCol w:w="8745"/>
      </w:tblGrid>
      <w:tr w:rsidR="008E6D2C" w:rsidRPr="009725E3" w14:paraId="307289BF" w14:textId="77777777" w:rsidTr="002F2BB4">
        <w:trPr>
          <w:trHeight w:val="816"/>
          <w:jc w:val="center"/>
        </w:trPr>
        <w:tc>
          <w:tcPr>
            <w:tcW w:w="1960" w:type="dxa"/>
          </w:tcPr>
          <w:p w14:paraId="2C7E2D09" w14:textId="77777777" w:rsidR="0048655A" w:rsidRPr="009725E3" w:rsidRDefault="0048655A" w:rsidP="002F2BB4">
            <w:pPr>
              <w:spacing w:line="259" w:lineRule="auto"/>
              <w:rPr>
                <w:rFonts w:ascii="Aptos" w:hAnsi="Aptos" w:cstheme="minorHAnsi"/>
              </w:rPr>
            </w:pPr>
            <w:bookmarkStart w:id="0" w:name="_Hlk54105970"/>
            <w:r w:rsidRPr="009725E3">
              <w:rPr>
                <w:rFonts w:ascii="Aptos" w:hAnsi="Aptos" w:cstheme="minorHAnsi"/>
              </w:rPr>
              <w:t>Challenge</w:t>
            </w:r>
          </w:p>
        </w:tc>
        <w:tc>
          <w:tcPr>
            <w:tcW w:w="8745" w:type="dxa"/>
          </w:tcPr>
          <w:p w14:paraId="7F9273D4" w14:textId="1F6C2279" w:rsidR="0048655A" w:rsidRPr="009725E3" w:rsidRDefault="00480693" w:rsidP="002F2BB4">
            <w:pPr>
              <w:rPr>
                <w:rFonts w:ascii="Aptos" w:hAnsi="Aptos" w:cstheme="minorHAnsi"/>
                <w:b/>
                <w:bCs/>
              </w:rPr>
            </w:pPr>
            <w:r w:rsidRPr="009725E3">
              <w:rPr>
                <w:rFonts w:ascii="Aptos" w:eastAsia="Arial" w:hAnsi="Aptos" w:cstheme="minorHAnsi"/>
                <w:b/>
                <w:bCs/>
              </w:rPr>
              <w:t xml:space="preserve">Severe hypoglycemia is a life-threatening diabetes treatment complication associated with increased risks of falls, cardiovascular events, cognitive decline, and mortality. Our objective was to determine whether proactive outreach by a clinical pharmacist applying an </w:t>
            </w:r>
            <w:r w:rsidRPr="009725E3">
              <w:rPr>
                <w:rFonts w:ascii="Aptos" w:eastAsia="GuardianTextEgypGR-Regular" w:hAnsi="Aptos" w:cstheme="minorHAnsi"/>
                <w:b/>
                <w:bCs/>
              </w:rPr>
              <w:t xml:space="preserve">evidence-based </w:t>
            </w:r>
            <w:r w:rsidRPr="009725E3">
              <w:rPr>
                <w:rFonts w:ascii="Aptos" w:hAnsi="Aptos" w:cstheme="minorHAnsi"/>
                <w:b/>
                <w:bCs/>
              </w:rPr>
              <w:t>hypoglycemia prevention algorithm, “Hypoglycemia on a Page” (HOAP)</w:t>
            </w:r>
            <w:r w:rsidRPr="009725E3">
              <w:rPr>
                <w:rFonts w:ascii="Aptos" w:eastAsia="Arial" w:hAnsi="Aptos" w:cstheme="minorHAnsi"/>
                <w:b/>
                <w:bCs/>
              </w:rPr>
              <w:t xml:space="preserve"> would result in safer diabetes regimens among patients with type 2 diabetes (T2D) at high risk for hypoglycemia.</w:t>
            </w:r>
          </w:p>
        </w:tc>
      </w:tr>
      <w:tr w:rsidR="008E6D2C" w:rsidRPr="009725E3" w14:paraId="67D435C8" w14:textId="77777777" w:rsidTr="002F2BB4">
        <w:trPr>
          <w:trHeight w:val="1091"/>
          <w:jc w:val="center"/>
        </w:trPr>
        <w:tc>
          <w:tcPr>
            <w:tcW w:w="1960" w:type="dxa"/>
          </w:tcPr>
          <w:p w14:paraId="351B366F" w14:textId="77777777" w:rsidR="0048655A" w:rsidRPr="009725E3" w:rsidRDefault="0048655A" w:rsidP="002F2BB4">
            <w:pPr>
              <w:spacing w:line="259" w:lineRule="auto"/>
              <w:rPr>
                <w:rFonts w:ascii="Aptos" w:hAnsi="Aptos" w:cstheme="minorHAnsi"/>
              </w:rPr>
            </w:pPr>
            <w:r w:rsidRPr="009725E3">
              <w:rPr>
                <w:rFonts w:ascii="Aptos" w:hAnsi="Aptos" w:cstheme="minorHAnsi"/>
              </w:rPr>
              <w:t>Existing Evidence</w:t>
            </w:r>
          </w:p>
        </w:tc>
        <w:tc>
          <w:tcPr>
            <w:tcW w:w="8745" w:type="dxa"/>
          </w:tcPr>
          <w:p w14:paraId="32D7DE43" w14:textId="4396C9E4" w:rsidR="00480693" w:rsidRPr="009725E3" w:rsidRDefault="00480693" w:rsidP="002F2BB4">
            <w:pPr>
              <w:spacing w:after="120"/>
              <w:rPr>
                <w:rFonts w:ascii="Aptos" w:hAnsi="Aptos" w:cstheme="minorHAnsi"/>
                <w:u w:val="single"/>
              </w:rPr>
            </w:pPr>
            <w:r w:rsidRPr="009725E3">
              <w:rPr>
                <w:rFonts w:ascii="Aptos" w:hAnsi="Aptos" w:cstheme="minorHAnsi"/>
              </w:rPr>
              <w:t>Each year, approximately 11% of KPNC patients with type 2 diabetes experience severe hypoglycemia (hypoglycemia requiring third-party assistance) with risk increasing with age and duration of diabetes</w:t>
            </w:r>
            <w:r w:rsidR="00813745" w:rsidRPr="009725E3">
              <w:rPr>
                <w:rFonts w:ascii="Aptos" w:eastAsia="GuardianTextEgypGR-Regular" w:hAnsi="Aptos" w:cstheme="minorHAnsi"/>
              </w:rPr>
              <w:t>. Hypoglycemia</w:t>
            </w:r>
            <w:r w:rsidRPr="009725E3">
              <w:rPr>
                <w:rFonts w:ascii="Aptos" w:hAnsi="Aptos" w:cstheme="minorHAnsi"/>
                <w:color w:val="000000"/>
                <w:shd w:val="clear" w:color="auto" w:fill="FFFFFF"/>
              </w:rPr>
              <w:t xml:space="preserve"> is </w:t>
            </w:r>
            <w:r w:rsidRPr="009725E3">
              <w:rPr>
                <w:rFonts w:ascii="Aptos" w:hAnsi="Aptos" w:cstheme="minorHAnsi"/>
                <w:u w:val="single"/>
              </w:rPr>
              <w:t>morbid</w:t>
            </w:r>
            <w:r w:rsidRPr="009725E3">
              <w:rPr>
                <w:rFonts w:ascii="Aptos" w:hAnsi="Aptos" w:cstheme="minorHAnsi"/>
              </w:rPr>
              <w:t xml:space="preserve"> (associated with </w:t>
            </w:r>
            <w:r w:rsidRPr="009725E3">
              <w:rPr>
                <w:rFonts w:ascii="Aptos" w:eastAsia="GuardianTextEgypGR-Regular" w:hAnsi="Aptos" w:cstheme="minorHAnsi"/>
              </w:rPr>
              <w:t>falls, fractures, automobile accidents, cardiovascular events, dementia, and even death</w:t>
            </w:r>
            <w:r w:rsidRPr="009725E3">
              <w:rPr>
                <w:rFonts w:ascii="Aptos" w:hAnsi="Aptos" w:cstheme="minorHAnsi"/>
              </w:rPr>
              <w:t xml:space="preserve">), and </w:t>
            </w:r>
            <w:r w:rsidRPr="009725E3">
              <w:rPr>
                <w:rFonts w:ascii="Aptos" w:hAnsi="Aptos" w:cstheme="minorHAnsi"/>
                <w:u w:val="single"/>
              </w:rPr>
              <w:t>costly</w:t>
            </w:r>
            <w:r w:rsidRPr="009725E3">
              <w:rPr>
                <w:rFonts w:ascii="Aptos" w:hAnsi="Aptos" w:cstheme="minorHAnsi"/>
              </w:rPr>
              <w:t xml:space="preserve"> (</w:t>
            </w:r>
            <w:r w:rsidRPr="009725E3">
              <w:rPr>
                <w:rFonts w:ascii="Aptos" w:eastAsia="GuardianTextEgypGR-Regular" w:hAnsi="Aptos" w:cstheme="minorHAnsi"/>
              </w:rPr>
              <w:t>total annual direct medical costs ~$1.8 billion in 2009 in the US</w:t>
            </w:r>
            <w:r w:rsidRPr="009725E3">
              <w:rPr>
                <w:rFonts w:ascii="Aptos" w:hAnsi="Aptos" w:cstheme="minorHAnsi"/>
              </w:rPr>
              <w:t>).</w:t>
            </w:r>
            <w:r w:rsidRPr="009725E3">
              <w:rPr>
                <w:rFonts w:ascii="Aptos" w:hAnsi="Aptos" w:cstheme="minorHAnsi"/>
                <w:color w:val="000000"/>
                <w:shd w:val="clear" w:color="auto" w:fill="FFFFFF"/>
              </w:rPr>
              <w:t xml:space="preserve"> </w:t>
            </w:r>
            <w:r w:rsidRPr="009725E3">
              <w:rPr>
                <w:rFonts w:ascii="Aptos" w:hAnsi="Aptos" w:cstheme="minorHAnsi"/>
              </w:rPr>
              <w:t>However, hypoglycemia in patients with T2D is not adequately recognized and documented, and providers rarely make appropriate preventive changes to the care plan</w:t>
            </w:r>
            <w:r w:rsidRPr="009725E3">
              <w:rPr>
                <w:rFonts w:ascii="Aptos" w:hAnsi="Aptos" w:cstheme="minorHAnsi"/>
              </w:rPr>
              <w:fldChar w:fldCharType="begin"/>
            </w:r>
            <w:r w:rsidRPr="009725E3">
              <w:rPr>
                <w:rFonts w:ascii="Aptos" w:hAnsi="Aptos" w:cstheme="minorHAnsi"/>
              </w:rPr>
              <w:instrText xml:space="preserve"> ADDIN EN.CITE &lt;EndNote&gt;&lt;Cite&gt;&lt;Author&gt;Vijayakumar&lt;/Author&gt;&lt;Year&gt;2020&lt;/Year&gt;&lt;RecNum&gt;7503&lt;/RecNum&gt;&lt;DisplayText&gt;[6]&lt;/DisplayText&gt;&lt;record&gt;&lt;rec-number&gt;7503&lt;/rec-number&gt;&lt;foreign-keys&gt;&lt;key app="EN" db-id="pd2s2zw5uf0wf5eftz0xapvq9zsward0vswt" timestamp="1657575053"&gt;7503&lt;/key&gt;&lt;/foreign-keys&gt;&lt;ref-type name="Journal Article"&gt;17&lt;/ref-type&gt;&lt;contributors&gt;&lt;authors&gt;&lt;author&gt;Vijayakumar, P.&lt;/author&gt;&lt;author&gt;Liu, S.&lt;/author&gt;&lt;author&gt;McCoy, R. G.&lt;/author&gt;&lt;author&gt;Karter, A. J.&lt;/author&gt;&lt;author&gt;Lipska, K. J.&lt;/author&gt;&lt;/authors&gt;&lt;/contributors&gt;&lt;auth-address&gt;Yale School of Medicine, New Haven, CT.&amp;#xD;Center for Outcomes Research and Evaluation, Yale-New Haven Hospital, New Haven, CT.&amp;#xD;Division of Community Internal Medicine, Department of Medicine, Mayo Clinic, Rochester, MN.&amp;#xD;Division of Health Care Policy and Research, Department of Health Sciences Research, Mayo Clinic, Rochester, MN.&amp;#xD;OptumLabs, Cambridge, MA.&amp;#xD;Division of Research, Kaiser Permanente Northern California, Oakland, CA.&amp;#xD;Center for Outcomes Research and Evaluation, Yale-New Haven Hospital, New Haven, CT kasia.lipska@yale.edu.&amp;#xD;Department of Internal Medicine, Yale School of Medicine, New Haven, CT.&lt;/auth-address&gt;&lt;titles&gt;&lt;title&gt;Changes in Management of Type 2 Diabetes Before and After Severe Hypoglycemia&lt;/title&gt;&lt;secondary-title&gt;Diabetes Care&lt;/secondary-title&gt;&lt;/titles&gt;&lt;periodical&gt;&lt;full-title&gt;Diabetes Care&lt;/full-title&gt;&lt;/periodical&gt;&lt;pages&gt;e188-e189&lt;/pages&gt;&lt;volume&gt;43&lt;/volume&gt;&lt;number&gt;11&lt;/number&gt;&lt;edition&gt;20200917&lt;/edition&gt;&lt;dates&gt;&lt;year&gt;2020&lt;/year&gt;&lt;pub-dates&gt;&lt;date&gt;Nov&lt;/date&gt;&lt;/pub-dates&gt;&lt;/dates&gt;&lt;isbn&gt;1935-5548 (Electronic)&amp;#xD;0149-5992 (Linking)&lt;/isbn&gt;&lt;accession-num&gt;32943439&lt;/accession-num&gt;&lt;urls&gt;&lt;related-urls&gt;&lt;url&gt;https://www.ncbi.nlm.nih.gov/pubmed/32943439&lt;/url&gt;&lt;/related-urls&gt;&lt;/urls&gt;&lt;custom2&gt;PMC7576416&lt;/custom2&gt;&lt;electronic-resource-num&gt;10.2337/dc20-0458&lt;/electronic-resource-num&gt;&lt;/record&gt;&lt;/Cite&gt;&lt;/EndNote&gt;</w:instrText>
            </w:r>
            <w:r w:rsidRPr="009725E3">
              <w:rPr>
                <w:rFonts w:ascii="Aptos" w:hAnsi="Aptos" w:cstheme="minorHAnsi"/>
              </w:rPr>
              <w:fldChar w:fldCharType="separate"/>
            </w:r>
            <w:r w:rsidRPr="009725E3">
              <w:rPr>
                <w:rFonts w:ascii="Aptos" w:hAnsi="Aptos" w:cstheme="minorHAnsi"/>
                <w:noProof/>
              </w:rPr>
              <w:t>[6]</w:t>
            </w:r>
            <w:r w:rsidRPr="009725E3">
              <w:rPr>
                <w:rFonts w:ascii="Aptos" w:hAnsi="Aptos" w:cstheme="minorHAnsi"/>
              </w:rPr>
              <w:fldChar w:fldCharType="end"/>
            </w:r>
            <w:r w:rsidRPr="009725E3">
              <w:rPr>
                <w:rFonts w:ascii="Aptos" w:hAnsi="Aptos" w:cstheme="minorHAnsi"/>
              </w:rPr>
              <w:t xml:space="preserve">. Ever since landmark clinical trials (e.g., UKPDS) demonstrated that lowering blood glucose levels reduced the risk of long-term diabetes complications, the medical community and quality organizations like </w:t>
            </w:r>
            <w:proofErr w:type="gramStart"/>
            <w:r w:rsidRPr="009725E3">
              <w:rPr>
                <w:rFonts w:ascii="Aptos" w:hAnsi="Aptos" w:cstheme="minorHAnsi"/>
              </w:rPr>
              <w:t>NCQA,</w:t>
            </w:r>
            <w:proofErr w:type="gramEnd"/>
            <w:r w:rsidRPr="009725E3">
              <w:rPr>
                <w:rFonts w:ascii="Aptos" w:hAnsi="Aptos" w:cstheme="minorHAnsi"/>
              </w:rPr>
              <w:t xml:space="preserve"> have prioritized A1C reduction, </w:t>
            </w:r>
            <w:r w:rsidRPr="009725E3">
              <w:rPr>
                <w:rFonts w:ascii="Aptos" w:hAnsi="Aptos" w:cstheme="minorHAnsi"/>
                <w:u w:val="single"/>
              </w:rPr>
              <w:t>often disregarding the hypoglycemia risk associated with the medications used to achieve those goals</w:t>
            </w:r>
            <w:r w:rsidRPr="009725E3">
              <w:rPr>
                <w:rFonts w:ascii="Aptos" w:hAnsi="Aptos" w:cstheme="minorHAnsi"/>
              </w:rPr>
              <w:t xml:space="preserve">. </w:t>
            </w:r>
          </w:p>
          <w:p w14:paraId="70041630" w14:textId="5E6CDDC3" w:rsidR="0048655A" w:rsidRPr="009725E3" w:rsidRDefault="00480693" w:rsidP="002F2BB4">
            <w:pPr>
              <w:spacing w:after="120"/>
              <w:rPr>
                <w:rFonts w:ascii="Aptos" w:hAnsi="Aptos" w:cstheme="minorHAnsi"/>
              </w:rPr>
            </w:pPr>
            <w:r w:rsidRPr="009725E3">
              <w:rPr>
                <w:rFonts w:ascii="Aptos" w:eastAsia="GuardianTextEgypGR-Regular" w:hAnsi="Aptos" w:cstheme="minorHAnsi"/>
              </w:rPr>
              <w:t>We previously developed a hypoglycemia risk stratification tool that categorizes patients as low, intermediate or high risk for ED visit or hospitalization for hypoglycemia</w:t>
            </w:r>
            <w:r w:rsidRPr="009725E3">
              <w:rPr>
                <w:rFonts w:ascii="Aptos" w:eastAsia="GuardianTextEgypGR-Regular" w:hAnsi="Aptos" w:cstheme="minorHAnsi"/>
              </w:rPr>
              <w:fldChar w:fldCharType="begin">
                <w:fldData xml:space="preserve">PEVuZE5vdGU+PENpdGU+PEF1dGhvcj5LYXJ0ZXI8L0F1dGhvcj48WWVhcj4yMDE3PC9ZZWFyPjxS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</w:fldData>
              </w:fldChar>
            </w:r>
            <w:r w:rsidRPr="009725E3">
              <w:rPr>
                <w:rFonts w:ascii="Aptos" w:eastAsia="GuardianTextEgypGR-Regular" w:hAnsi="Aptos" w:cstheme="minorHAnsi"/>
              </w:rPr>
              <w:instrText xml:space="preserve"> ADDIN EN.CITE </w:instrText>
            </w:r>
            <w:r w:rsidRPr="009725E3">
              <w:rPr>
                <w:rFonts w:ascii="Aptos" w:eastAsia="GuardianTextEgypGR-Regular" w:hAnsi="Aptos" w:cstheme="minorHAnsi"/>
              </w:rPr>
              <w:fldChar w:fldCharType="begin">
                <w:fldData xml:space="preserve">PEVuZE5vdGU+PENpdGU+PEF1dGhvcj5LYXJ0ZXI8L0F1dGhvcj48WWVhcj4yMDE3PC9ZZWFyPjxS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</w:fldData>
              </w:fldChar>
            </w:r>
            <w:r w:rsidRPr="009725E3">
              <w:rPr>
                <w:rFonts w:ascii="Aptos" w:eastAsia="GuardianTextEgypGR-Regular" w:hAnsi="Aptos" w:cstheme="minorHAnsi"/>
              </w:rPr>
              <w:instrText xml:space="preserve"> ADDIN EN.CITE.DATA </w:instrText>
            </w:r>
            <w:r w:rsidRPr="009725E3">
              <w:rPr>
                <w:rFonts w:ascii="Aptos" w:eastAsia="GuardianTextEgypGR-Regular" w:hAnsi="Aptos" w:cstheme="minorHAnsi"/>
              </w:rPr>
            </w:r>
            <w:r w:rsidRPr="009725E3">
              <w:rPr>
                <w:rFonts w:ascii="Aptos" w:eastAsia="GuardianTextEgypGR-Regular" w:hAnsi="Aptos" w:cstheme="minorHAnsi"/>
              </w:rPr>
              <w:fldChar w:fldCharType="end"/>
            </w:r>
            <w:r w:rsidRPr="009725E3">
              <w:rPr>
                <w:rFonts w:ascii="Aptos" w:eastAsia="GuardianTextEgypGR-Regular" w:hAnsi="Aptos" w:cstheme="minorHAnsi"/>
              </w:rPr>
            </w:r>
            <w:r w:rsidRPr="009725E3">
              <w:rPr>
                <w:rFonts w:ascii="Aptos" w:eastAsia="GuardianTextEgypGR-Regular" w:hAnsi="Aptos" w:cstheme="minorHAnsi"/>
              </w:rPr>
              <w:fldChar w:fldCharType="separate"/>
            </w:r>
            <w:r w:rsidRPr="009725E3">
              <w:rPr>
                <w:rFonts w:ascii="Aptos" w:eastAsia="GuardianTextEgypGR-Regular" w:hAnsi="Aptos" w:cstheme="minorHAnsi"/>
                <w:noProof/>
              </w:rPr>
              <w:t>[1, 2]</w:t>
            </w:r>
            <w:r w:rsidRPr="009725E3">
              <w:rPr>
                <w:rFonts w:ascii="Aptos" w:eastAsia="GuardianTextEgypGR-Regular" w:hAnsi="Aptos" w:cstheme="minorHAnsi"/>
              </w:rPr>
              <w:fldChar w:fldCharType="end"/>
            </w:r>
            <w:r w:rsidRPr="009725E3">
              <w:rPr>
                <w:rFonts w:ascii="Aptos" w:eastAsia="GuardianTextEgypGR-Regular" w:hAnsi="Aptos" w:cstheme="minorHAnsi"/>
              </w:rPr>
              <w:t>. We found that patients classified as high risk for hypoglycemia were 35 times more likely to have an ED or hospital admission for hypoglycemia in the subsequent 12 months, compared to patients classified as low ris</w:t>
            </w:r>
            <w:r w:rsidR="00822A21" w:rsidRPr="009725E3">
              <w:rPr>
                <w:rFonts w:ascii="Aptos" w:eastAsia="GuardianTextEgypGR-Regular" w:hAnsi="Aptos" w:cstheme="minorHAnsi"/>
              </w:rPr>
              <w:t>k</w:t>
            </w:r>
            <w:r w:rsidR="00813745" w:rsidRPr="009725E3">
              <w:rPr>
                <w:rFonts w:ascii="Aptos" w:eastAsia="GuardianTextEgypGR-Regular" w:hAnsi="Aptos" w:cstheme="minorHAnsi"/>
              </w:rPr>
              <w:t xml:space="preserve">. </w:t>
            </w:r>
            <w:r w:rsidRPr="009725E3">
              <w:rPr>
                <w:rFonts w:ascii="Aptos" w:hAnsi="Aptos" w:cstheme="minorHAnsi"/>
              </w:rPr>
              <w:t xml:space="preserve">While we can effectively identify patients at high risk for hypoglycemia, no well-validated, clinical or population management protocol for </w:t>
            </w:r>
            <w:r w:rsidRPr="009725E3">
              <w:rPr>
                <w:rFonts w:ascii="Aptos" w:hAnsi="Aptos" w:cstheme="minorHAnsi"/>
                <w:u w:val="single"/>
              </w:rPr>
              <w:t>hypoglycemia prevention</w:t>
            </w:r>
            <w:r w:rsidRPr="009725E3">
              <w:rPr>
                <w:rFonts w:ascii="Aptos" w:hAnsi="Aptos" w:cstheme="minorHAnsi"/>
              </w:rPr>
              <w:t xml:space="preserve"> exists. Cl</w:t>
            </w:r>
            <w:r w:rsidRPr="009725E3">
              <w:rPr>
                <w:rFonts w:ascii="Aptos" w:eastAsia="GuardianTextEgypGR-Regular" w:hAnsi="Aptos" w:cstheme="minorHAnsi"/>
              </w:rPr>
              <w:t>inicians need guidance on how to minimize hypoglycemia risk without sacrificing glycemic control</w:t>
            </w:r>
            <w:r w:rsidR="00813745" w:rsidRPr="009725E3">
              <w:rPr>
                <w:rFonts w:ascii="Aptos" w:eastAsia="GuardianTextEgypGR-Regular" w:hAnsi="Aptos" w:cstheme="minorHAnsi"/>
              </w:rPr>
              <w:t>.</w:t>
            </w:r>
          </w:p>
        </w:tc>
      </w:tr>
      <w:tr w:rsidR="008E6D2C" w:rsidRPr="009725E3" w14:paraId="136E6453" w14:textId="77777777" w:rsidTr="002F2BB4">
        <w:trPr>
          <w:trHeight w:val="262"/>
          <w:jc w:val="center"/>
        </w:trPr>
        <w:tc>
          <w:tcPr>
            <w:tcW w:w="1960" w:type="dxa"/>
          </w:tcPr>
          <w:p w14:paraId="53202DB8" w14:textId="77777777" w:rsidR="0048655A" w:rsidRPr="009725E3" w:rsidRDefault="0048655A" w:rsidP="002F2BB4">
            <w:pPr>
              <w:spacing w:line="259" w:lineRule="auto"/>
              <w:rPr>
                <w:rFonts w:ascii="Aptos" w:hAnsi="Aptos" w:cstheme="minorHAnsi"/>
              </w:rPr>
            </w:pPr>
            <w:r w:rsidRPr="009725E3">
              <w:rPr>
                <w:rFonts w:ascii="Aptos" w:hAnsi="Aptos" w:cstheme="minorHAnsi"/>
              </w:rPr>
              <w:t>Target Population</w:t>
            </w:r>
          </w:p>
        </w:tc>
        <w:tc>
          <w:tcPr>
            <w:tcW w:w="8745" w:type="dxa"/>
          </w:tcPr>
          <w:p w14:paraId="1486D38C" w14:textId="2327E74F" w:rsidR="0048655A" w:rsidRPr="009725E3" w:rsidRDefault="009C543D" w:rsidP="002F2BB4">
            <w:pPr>
              <w:spacing w:line="259" w:lineRule="auto"/>
              <w:rPr>
                <w:rFonts w:ascii="Aptos" w:hAnsi="Aptos" w:cstheme="minorHAnsi"/>
              </w:rPr>
            </w:pPr>
            <w:r w:rsidRPr="009725E3">
              <w:rPr>
                <w:rFonts w:ascii="Aptos" w:hAnsi="Aptos" w:cstheme="minorHAnsi"/>
              </w:rPr>
              <w:t xml:space="preserve">The </w:t>
            </w:r>
            <w:r w:rsidRPr="009725E3">
              <w:rPr>
                <w:rFonts w:ascii="Aptos" w:hAnsi="Aptos" w:cstheme="minorHAnsi"/>
                <w:b/>
                <w:bCs/>
                <w:u w:val="single"/>
              </w:rPr>
              <w:t>eligible population</w:t>
            </w:r>
            <w:r w:rsidRPr="009725E3">
              <w:rPr>
                <w:rFonts w:ascii="Aptos" w:hAnsi="Aptos" w:cstheme="minorHAnsi"/>
              </w:rPr>
              <w:t xml:space="preserve"> for the pragmatic RCT included adult KPNC members with T2D </w:t>
            </w:r>
            <w:r w:rsidRPr="009725E3">
              <w:rPr>
                <w:rFonts w:ascii="Aptos" w:eastAsia="Arial" w:hAnsi="Aptos" w:cstheme="minorHAnsi"/>
              </w:rPr>
              <w:t xml:space="preserve">identified as being at </w:t>
            </w:r>
            <w:r w:rsidRPr="009725E3">
              <w:rPr>
                <w:rFonts w:ascii="Aptos" w:hAnsi="Aptos" w:cstheme="minorHAnsi"/>
              </w:rPr>
              <w:t xml:space="preserve">high hypoglycemia risk </w:t>
            </w:r>
            <w:r w:rsidRPr="009725E3">
              <w:rPr>
                <w:rFonts w:ascii="Aptos" w:eastAsia="GuardianTextEgypGR-Regular" w:hAnsi="Aptos" w:cstheme="minorHAnsi"/>
              </w:rPr>
              <w:t xml:space="preserve">based on our hypoglycemia risk stratification tool </w:t>
            </w:r>
            <w:r w:rsidRPr="009725E3">
              <w:rPr>
                <w:rFonts w:ascii="Aptos" w:eastAsia="GuardianTextEgypGR-Regular" w:hAnsi="Aptos" w:cstheme="minorHAnsi"/>
                <w:b/>
                <w:bCs/>
                <w:i/>
                <w:iCs/>
              </w:rPr>
              <w:t>or</w:t>
            </w:r>
            <w:r w:rsidRPr="009725E3">
              <w:rPr>
                <w:rFonts w:ascii="Aptos" w:eastAsia="GuardianTextEgypGR-Regular" w:hAnsi="Aptos" w:cstheme="minorHAnsi"/>
              </w:rPr>
              <w:t xml:space="preserve"> recent (within 6 months prior to inclusion in the cohort) ED visit or hospitalization with a primary or principal diagnosis, respectively, of hypoglycemia</w:t>
            </w:r>
            <w:r w:rsidRPr="009725E3">
              <w:rPr>
                <w:rFonts w:ascii="Aptos" w:hAnsi="Aptos" w:cstheme="minorHAnsi"/>
              </w:rPr>
              <w:t>.</w:t>
            </w:r>
          </w:p>
        </w:tc>
      </w:tr>
      <w:tr w:rsidR="008E6D2C" w:rsidRPr="009725E3" w14:paraId="5B80BED5" w14:textId="77777777" w:rsidTr="002F2BB4">
        <w:trPr>
          <w:trHeight w:val="276"/>
          <w:jc w:val="center"/>
        </w:trPr>
        <w:tc>
          <w:tcPr>
            <w:tcW w:w="1960" w:type="dxa"/>
          </w:tcPr>
          <w:p w14:paraId="0D0B7C0D" w14:textId="77777777" w:rsidR="0048655A" w:rsidRPr="009725E3" w:rsidRDefault="0048655A" w:rsidP="002F2BB4">
            <w:pPr>
              <w:spacing w:line="259" w:lineRule="auto"/>
              <w:rPr>
                <w:rFonts w:ascii="Aptos" w:hAnsi="Aptos" w:cstheme="minorHAnsi"/>
              </w:rPr>
            </w:pPr>
            <w:r w:rsidRPr="009725E3">
              <w:rPr>
                <w:rFonts w:ascii="Aptos" w:hAnsi="Aptos" w:cstheme="minorHAnsi"/>
              </w:rPr>
              <w:t>Intervention or Exposure</w:t>
            </w:r>
          </w:p>
        </w:tc>
        <w:tc>
          <w:tcPr>
            <w:tcW w:w="8745" w:type="dxa"/>
          </w:tcPr>
          <w:p w14:paraId="0CA2C589" w14:textId="7132A97A" w:rsidR="0048655A" w:rsidRPr="009725E3" w:rsidRDefault="009C543D" w:rsidP="002F2BB4">
            <w:pPr>
              <w:spacing w:after="120"/>
              <w:rPr>
                <w:rFonts w:ascii="Aptos" w:hAnsi="Aptos" w:cstheme="minorHAnsi"/>
                <w:u w:val="single"/>
              </w:rPr>
            </w:pPr>
            <w:r w:rsidRPr="009725E3">
              <w:rPr>
                <w:rFonts w:ascii="Aptos" w:hAnsi="Aptos" w:cstheme="minorHAnsi"/>
              </w:rPr>
              <w:t>Patients were randomized to either (1)</w:t>
            </w:r>
            <w:r w:rsidRPr="009725E3">
              <w:rPr>
                <w:rFonts w:ascii="Aptos" w:eastAsia="Arial" w:hAnsi="Aptos" w:cstheme="minorHAnsi"/>
              </w:rPr>
              <w:t xml:space="preserve"> </w:t>
            </w:r>
            <w:r w:rsidRPr="009725E3">
              <w:rPr>
                <w:rFonts w:ascii="Aptos" w:hAnsi="Aptos" w:cstheme="minorHAnsi"/>
              </w:rPr>
              <w:t>protocol-driven outreach by a clinical pharmacist (</w:t>
            </w:r>
            <w:r w:rsidRPr="009725E3">
              <w:rPr>
                <w:rFonts w:ascii="Aptos" w:eastAsia="Arial" w:hAnsi="Aptos" w:cstheme="minorHAnsi"/>
              </w:rPr>
              <w:t xml:space="preserve">intervention arm, </w:t>
            </w:r>
            <w:r w:rsidRPr="009725E3">
              <w:rPr>
                <w:rFonts w:ascii="Aptos" w:hAnsi="Aptos" w:cstheme="minorHAnsi"/>
              </w:rPr>
              <w:t>n=100)</w:t>
            </w:r>
            <w:r w:rsidRPr="009725E3">
              <w:rPr>
                <w:rFonts w:ascii="Aptos" w:eastAsia="Arial" w:hAnsi="Aptos" w:cstheme="minorHAnsi"/>
              </w:rPr>
              <w:t>, or (2) usual care (control arm, n=100). The protocol-driven intervention included</w:t>
            </w:r>
            <w:r w:rsidRPr="009725E3">
              <w:rPr>
                <w:rFonts w:ascii="Aptos" w:hAnsi="Aptos" w:cstheme="minorHAnsi"/>
              </w:rPr>
              <w:t xml:space="preserve"> the following: 1) </w:t>
            </w:r>
            <w:r w:rsidRPr="009725E3">
              <w:rPr>
                <w:rFonts w:ascii="Aptos" w:hAnsi="Aptos" w:cstheme="minorHAnsi"/>
                <w:u w:val="single"/>
              </w:rPr>
              <w:t>primary assessment of the patient</w:t>
            </w:r>
            <w:r w:rsidRPr="009725E3">
              <w:rPr>
                <w:rFonts w:ascii="Aptos" w:hAnsi="Aptos" w:cstheme="minorHAnsi"/>
              </w:rPr>
              <w:t xml:space="preserve"> (diabetes medication regimen, relevant lab tests, CGM prescription, glucagon prescription, self-reported history of hypoglycemia, hypoglycemia unawareness, eating patterns, food insecurity, alcohol intake, and support systems), 2) </w:t>
            </w:r>
            <w:r w:rsidRPr="009725E3">
              <w:rPr>
                <w:rFonts w:ascii="Aptos" w:hAnsi="Aptos" w:cstheme="minorHAnsi"/>
                <w:u w:val="single"/>
              </w:rPr>
              <w:t>intervene to reduce hypoglycemia risk</w:t>
            </w:r>
            <w:r w:rsidRPr="009725E3">
              <w:rPr>
                <w:rFonts w:ascii="Aptos" w:hAnsi="Aptos" w:cstheme="minorHAnsi"/>
              </w:rPr>
              <w:t xml:space="preserve"> (diabetes regimen changes, prescribing CGM if appropriate, prescribe glucagon, providing patient education, documenting hypoglycemia risk on the problem list), and 3) </w:t>
            </w:r>
            <w:r w:rsidRPr="009725E3">
              <w:rPr>
                <w:rFonts w:ascii="Aptos" w:hAnsi="Aptos" w:cstheme="minorHAnsi"/>
                <w:u w:val="single"/>
              </w:rPr>
              <w:t>follow-up assessment</w:t>
            </w:r>
            <w:r w:rsidRPr="009725E3">
              <w:rPr>
                <w:rFonts w:ascii="Aptos" w:hAnsi="Aptos" w:cstheme="minorHAnsi"/>
              </w:rPr>
              <w:t xml:space="preserve"> (effectiveness of new regimen, self-reported hypoglycemia, hypoglycemia unawareness).</w:t>
            </w:r>
          </w:p>
        </w:tc>
      </w:tr>
      <w:tr w:rsidR="008E6D2C" w:rsidRPr="009725E3" w14:paraId="13978FD3" w14:textId="77777777" w:rsidTr="002F2BB4">
        <w:trPr>
          <w:trHeight w:val="890"/>
          <w:jc w:val="center"/>
        </w:trPr>
        <w:tc>
          <w:tcPr>
            <w:tcW w:w="1960" w:type="dxa"/>
          </w:tcPr>
          <w:p w14:paraId="7525D5B4" w14:textId="77777777" w:rsidR="0048655A" w:rsidRPr="009725E3" w:rsidRDefault="0048655A" w:rsidP="002F2BB4">
            <w:pPr>
              <w:spacing w:line="259" w:lineRule="auto"/>
              <w:rPr>
                <w:rFonts w:ascii="Aptos" w:hAnsi="Aptos"/>
                <w:b/>
                <w:bCs/>
              </w:rPr>
            </w:pPr>
            <w:r w:rsidRPr="009725E3">
              <w:rPr>
                <w:rFonts w:ascii="Aptos" w:hAnsi="Aptos"/>
                <w:b/>
                <w:bCs/>
              </w:rPr>
              <w:lastRenderedPageBreak/>
              <w:t>Outcomes/Key Findings</w:t>
            </w:r>
          </w:p>
        </w:tc>
        <w:tc>
          <w:tcPr>
            <w:tcW w:w="8745" w:type="dxa"/>
          </w:tcPr>
          <w:p w14:paraId="3CD35CB0" w14:textId="409E11D7" w:rsidR="0048655A" w:rsidRPr="009725E3" w:rsidRDefault="0026221B" w:rsidP="002F2BB4">
            <w:pPr>
              <w:rPr>
                <w:rFonts w:ascii="Aptos" w:eastAsia="Arial" w:hAnsi="Aptos" w:cstheme="minorHAnsi"/>
              </w:rPr>
            </w:pPr>
            <w:r w:rsidRPr="009725E3">
              <w:rPr>
                <w:rFonts w:ascii="Aptos" w:hAnsi="Aptos" w:cstheme="minorHAnsi"/>
              </w:rPr>
              <w:t xml:space="preserve">In our preliminary analysis, we first assessed </w:t>
            </w:r>
            <w:r w:rsidR="00AC6059" w:rsidRPr="009725E3">
              <w:rPr>
                <w:rFonts w:ascii="Aptos" w:hAnsi="Aptos" w:cstheme="minorHAnsi"/>
              </w:rPr>
              <w:t xml:space="preserve">the </w:t>
            </w:r>
            <w:r w:rsidRPr="009725E3">
              <w:rPr>
                <w:rFonts w:ascii="Aptos" w:hAnsi="Aptos" w:cstheme="minorHAnsi"/>
              </w:rPr>
              <w:t xml:space="preserve">impact of passive dissemination </w:t>
            </w:r>
            <w:r w:rsidR="001E5BC1" w:rsidRPr="009725E3">
              <w:rPr>
                <w:rFonts w:ascii="Aptos" w:hAnsi="Aptos" w:cstheme="minorHAnsi"/>
              </w:rPr>
              <w:t xml:space="preserve">of HOAP </w:t>
            </w:r>
            <w:r w:rsidRPr="009725E3">
              <w:rPr>
                <w:rFonts w:ascii="Aptos" w:hAnsi="Aptos" w:cstheme="minorHAnsi"/>
              </w:rPr>
              <w:t>on severe hypoglycemia rates using interrupted time series. This passive dissemination</w:t>
            </w:r>
            <w:r w:rsidRPr="009725E3" w:rsidDel="0026221B">
              <w:rPr>
                <w:rFonts w:ascii="Aptos" w:hAnsi="Aptos" w:cstheme="minorHAnsi"/>
              </w:rPr>
              <w:t xml:space="preserve"> </w:t>
            </w:r>
            <w:r w:rsidRPr="009725E3">
              <w:rPr>
                <w:rFonts w:ascii="Aptos" w:hAnsi="Aptos" w:cstheme="minorHAnsi"/>
              </w:rPr>
              <w:t>did not show significant</w:t>
            </w:r>
            <w:r w:rsidR="001E5BC1" w:rsidRPr="009725E3">
              <w:rPr>
                <w:rFonts w:ascii="Aptos" w:hAnsi="Aptos" w:cstheme="minorHAnsi"/>
              </w:rPr>
              <w:t xml:space="preserve"> improvements in</w:t>
            </w:r>
            <w:r w:rsidRPr="009725E3">
              <w:rPr>
                <w:rFonts w:ascii="Aptos" w:hAnsi="Aptos" w:cstheme="minorHAnsi"/>
              </w:rPr>
              <w:t xml:space="preserve"> hypoglycemia </w:t>
            </w:r>
            <w:r w:rsidR="001E5BC1" w:rsidRPr="009725E3">
              <w:rPr>
                <w:rFonts w:ascii="Aptos" w:hAnsi="Aptos" w:cstheme="minorHAnsi"/>
              </w:rPr>
              <w:t xml:space="preserve">rates </w:t>
            </w:r>
            <w:r w:rsidR="00494F61" w:rsidRPr="009725E3">
              <w:rPr>
                <w:rFonts w:ascii="Aptos" w:hAnsi="Aptos" w:cstheme="minorHAnsi"/>
              </w:rPr>
              <w:t>(data not shown)</w:t>
            </w:r>
            <w:r w:rsidR="001E5BC1" w:rsidRPr="009725E3">
              <w:rPr>
                <w:rFonts w:ascii="Aptos" w:hAnsi="Aptos" w:cstheme="minorHAnsi"/>
              </w:rPr>
              <w:t xml:space="preserve">. </w:t>
            </w:r>
            <w:r w:rsidRPr="009725E3">
              <w:rPr>
                <w:rFonts w:ascii="Aptos" w:hAnsi="Aptos" w:cstheme="minorHAnsi"/>
              </w:rPr>
              <w:t>In contrast</w:t>
            </w:r>
            <w:r w:rsidR="001E5BC1" w:rsidRPr="009725E3">
              <w:rPr>
                <w:rFonts w:ascii="Aptos" w:hAnsi="Aptos" w:cstheme="minorHAnsi"/>
              </w:rPr>
              <w:t xml:space="preserve">, the active dissemination of HOAP via a Hypoglycemia Champion </w:t>
            </w:r>
            <w:r w:rsidRPr="009725E3">
              <w:rPr>
                <w:rFonts w:ascii="Aptos" w:hAnsi="Aptos" w:cstheme="minorHAnsi"/>
              </w:rPr>
              <w:t>in our clinical trial demonstrated</w:t>
            </w:r>
            <w:r w:rsidR="001E5BC1" w:rsidRPr="009725E3">
              <w:rPr>
                <w:rFonts w:ascii="Aptos" w:hAnsi="Aptos" w:cstheme="minorHAnsi"/>
              </w:rPr>
              <w:t xml:space="preserve"> a significant effect</w:t>
            </w:r>
            <w:r w:rsidRPr="009725E3">
              <w:rPr>
                <w:rFonts w:ascii="Aptos" w:hAnsi="Aptos" w:cstheme="minorHAnsi"/>
              </w:rPr>
              <w:t xml:space="preserve"> at 6 months</w:t>
            </w:r>
            <w:r w:rsidR="001E5BC1" w:rsidRPr="009725E3">
              <w:rPr>
                <w:rFonts w:ascii="Aptos" w:hAnsi="Aptos" w:cstheme="minorHAnsi"/>
              </w:rPr>
              <w:t xml:space="preserve">. </w:t>
            </w:r>
            <w:r w:rsidRPr="009725E3">
              <w:rPr>
                <w:rFonts w:ascii="Aptos" w:eastAsia="Arial" w:hAnsi="Aptos" w:cstheme="minorHAnsi"/>
              </w:rPr>
              <w:t>M</w:t>
            </w:r>
            <w:r w:rsidR="00822A21" w:rsidRPr="009725E3">
              <w:rPr>
                <w:rFonts w:ascii="Aptos" w:eastAsia="Arial" w:hAnsi="Aptos" w:cstheme="minorHAnsi"/>
                <w:b/>
                <w:bCs/>
              </w:rPr>
              <w:t>ore</w:t>
            </w:r>
            <w:r w:rsidR="009C543D" w:rsidRPr="009725E3">
              <w:rPr>
                <w:rFonts w:ascii="Aptos" w:eastAsia="Arial" w:hAnsi="Aptos" w:cstheme="minorHAnsi"/>
              </w:rPr>
              <w:t xml:space="preserve"> </w:t>
            </w:r>
            <w:r w:rsidR="009C543D" w:rsidRPr="009725E3">
              <w:rPr>
                <w:rFonts w:ascii="Aptos" w:eastAsia="Arial" w:hAnsi="Aptos" w:cstheme="minorHAnsi"/>
                <w:b/>
                <w:bCs/>
              </w:rPr>
              <w:t xml:space="preserve">patients </w:t>
            </w:r>
            <w:r w:rsidR="001E5BC1" w:rsidRPr="009725E3">
              <w:rPr>
                <w:rFonts w:ascii="Aptos" w:eastAsia="Arial" w:hAnsi="Aptos" w:cstheme="minorHAnsi"/>
                <w:b/>
                <w:bCs/>
              </w:rPr>
              <w:t xml:space="preserve">randomized to </w:t>
            </w:r>
            <w:r w:rsidR="009C543D" w:rsidRPr="009725E3">
              <w:rPr>
                <w:rFonts w:ascii="Aptos" w:eastAsia="Arial" w:hAnsi="Aptos" w:cstheme="minorHAnsi"/>
                <w:b/>
                <w:bCs/>
              </w:rPr>
              <w:t xml:space="preserve">the intervention arm were </w:t>
            </w:r>
            <w:r w:rsidR="00822A21" w:rsidRPr="009725E3">
              <w:rPr>
                <w:rFonts w:ascii="Aptos" w:eastAsia="Arial" w:hAnsi="Aptos" w:cstheme="minorHAnsi"/>
                <w:b/>
                <w:bCs/>
              </w:rPr>
              <w:t xml:space="preserve">switched to </w:t>
            </w:r>
            <w:r w:rsidR="009C543D" w:rsidRPr="009725E3">
              <w:rPr>
                <w:rFonts w:ascii="Aptos" w:eastAsia="Arial" w:hAnsi="Aptos" w:cstheme="minorHAnsi"/>
                <w:b/>
                <w:bCs/>
              </w:rPr>
              <w:t>a safer diabetes regimen (28% vs. 16% in control arm, p=0.04)</w:t>
            </w:r>
            <w:r w:rsidR="005A01D5" w:rsidRPr="009725E3">
              <w:rPr>
                <w:rFonts w:ascii="Aptos" w:eastAsia="Arial" w:hAnsi="Aptos" w:cstheme="minorHAnsi"/>
                <w:b/>
                <w:bCs/>
              </w:rPr>
              <w:t xml:space="preserve"> and</w:t>
            </w:r>
            <w:r w:rsidR="009C543D" w:rsidRPr="009725E3">
              <w:rPr>
                <w:rFonts w:ascii="Aptos" w:eastAsia="Arial" w:hAnsi="Aptos" w:cstheme="minorHAnsi"/>
                <w:b/>
                <w:bCs/>
              </w:rPr>
              <w:t xml:space="preserve"> experienced </w:t>
            </w:r>
            <w:r w:rsidR="005A01D5" w:rsidRPr="009725E3">
              <w:rPr>
                <w:rFonts w:ascii="Aptos" w:eastAsia="Arial" w:hAnsi="Aptos" w:cstheme="minorHAnsi"/>
                <w:b/>
                <w:bCs/>
              </w:rPr>
              <w:t xml:space="preserve">far </w:t>
            </w:r>
            <w:r w:rsidR="009C543D" w:rsidRPr="009725E3">
              <w:rPr>
                <w:rFonts w:ascii="Aptos" w:eastAsia="Arial" w:hAnsi="Aptos" w:cstheme="minorHAnsi"/>
                <w:b/>
                <w:bCs/>
              </w:rPr>
              <w:t>fewer hypoglycemia-related ED or inpatient encounters (0% vs. 5.3%, p=0.02).</w:t>
            </w:r>
            <w:r w:rsidR="009C543D" w:rsidRPr="009725E3">
              <w:rPr>
                <w:rFonts w:ascii="Aptos" w:eastAsia="Arial" w:hAnsi="Aptos" w:cstheme="minorHAnsi"/>
              </w:rPr>
              <w:t xml:space="preserve"> We </w:t>
            </w:r>
            <w:r w:rsidR="009C543D" w:rsidRPr="009725E3">
              <w:rPr>
                <w:rFonts w:ascii="Aptos" w:eastAsia="Arial" w:hAnsi="Aptos" w:cstheme="minorHAnsi"/>
                <w:b/>
                <w:bCs/>
              </w:rPr>
              <w:t>did not see worsening HbA1c control in the intervention arm</w:t>
            </w:r>
            <w:r w:rsidR="009C543D" w:rsidRPr="009725E3">
              <w:rPr>
                <w:rFonts w:ascii="Aptos" w:eastAsia="Arial" w:hAnsi="Aptos" w:cstheme="minorHAnsi"/>
              </w:rPr>
              <w:t>, compared to the control arm (62% vs 64% with HbA1c &lt; 8%, p=0.82).</w:t>
            </w:r>
            <w:r w:rsidR="001E5BC1" w:rsidRPr="009725E3">
              <w:rPr>
                <w:rFonts w:ascii="Aptos" w:eastAsia="Arial" w:hAnsi="Aptos" w:cstheme="minorHAnsi"/>
              </w:rPr>
              <w:t xml:space="preserve"> </w:t>
            </w:r>
            <w:r w:rsidR="001E5BC1" w:rsidRPr="009725E3">
              <w:rPr>
                <w:rFonts w:ascii="Aptos" w:hAnsi="Aptos" w:cstheme="minorHAnsi"/>
              </w:rPr>
              <w:t xml:space="preserve"> </w:t>
            </w:r>
          </w:p>
        </w:tc>
      </w:tr>
      <w:tr w:rsidR="008E6D2C" w:rsidRPr="009725E3" w14:paraId="62542513" w14:textId="77777777" w:rsidTr="002F2BB4">
        <w:trPr>
          <w:trHeight w:val="816"/>
          <w:jc w:val="center"/>
        </w:trPr>
        <w:tc>
          <w:tcPr>
            <w:tcW w:w="1960" w:type="dxa"/>
          </w:tcPr>
          <w:p w14:paraId="38755ADC" w14:textId="77777777" w:rsidR="0048655A" w:rsidRPr="009725E3" w:rsidRDefault="0048655A" w:rsidP="002F2BB4">
            <w:pPr>
              <w:spacing w:line="259" w:lineRule="auto"/>
              <w:rPr>
                <w:rFonts w:ascii="Aptos" w:hAnsi="Aptos"/>
                <w:b/>
                <w:bCs/>
              </w:rPr>
            </w:pPr>
            <w:r w:rsidRPr="009725E3">
              <w:rPr>
                <w:rFonts w:ascii="Aptos" w:hAnsi="Aptos"/>
                <w:b/>
                <w:bCs/>
              </w:rPr>
              <w:t>Resulting Action/Change</w:t>
            </w:r>
          </w:p>
        </w:tc>
        <w:tc>
          <w:tcPr>
            <w:tcW w:w="8745" w:type="dxa"/>
          </w:tcPr>
          <w:p w14:paraId="092B6F29" w14:textId="70FD63F8" w:rsidR="0048655A" w:rsidRPr="009725E3" w:rsidRDefault="00AB78C8" w:rsidP="002F2BB4">
            <w:pPr>
              <w:rPr>
                <w:rFonts w:ascii="Aptos" w:eastAsia="Arial" w:hAnsi="Aptos" w:cstheme="minorHAnsi"/>
                <w:b/>
                <w:bCs/>
              </w:rPr>
            </w:pPr>
            <w:r w:rsidRPr="009725E3">
              <w:rPr>
                <w:rFonts w:ascii="Aptos" w:eastAsia="Arial" w:hAnsi="Aptos" w:cstheme="minorHAnsi"/>
                <w:b/>
                <w:bCs/>
                <w:color w:val="000000" w:themeColor="text1"/>
              </w:rPr>
              <w:t xml:space="preserve">This randomized pragmatic trial </w:t>
            </w:r>
            <w:r w:rsidR="009C543D" w:rsidRPr="009725E3">
              <w:rPr>
                <w:rFonts w:ascii="Aptos" w:eastAsia="Arial" w:hAnsi="Aptos" w:cstheme="minorHAnsi"/>
                <w:b/>
                <w:bCs/>
                <w:color w:val="000000" w:themeColor="text1"/>
              </w:rPr>
              <w:t xml:space="preserve">demonstrated </w:t>
            </w:r>
            <w:r w:rsidR="003B414F" w:rsidRPr="009725E3">
              <w:rPr>
                <w:rFonts w:ascii="Aptos" w:eastAsia="Arial" w:hAnsi="Aptos" w:cstheme="minorHAnsi"/>
                <w:b/>
                <w:bCs/>
                <w:color w:val="000000" w:themeColor="text1"/>
              </w:rPr>
              <w:t xml:space="preserve">that </w:t>
            </w:r>
            <w:r w:rsidR="003B414F" w:rsidRPr="009725E3">
              <w:rPr>
                <w:rFonts w:ascii="Aptos" w:hAnsi="Aptos" w:cstheme="minorHAnsi"/>
                <w:b/>
                <w:bCs/>
              </w:rPr>
              <w:t>active dissemination of the HOAP guidelines via a dedicated Hypoglycemia Champion improve</w:t>
            </w:r>
            <w:r w:rsidR="0026221B" w:rsidRPr="009725E3">
              <w:rPr>
                <w:rFonts w:ascii="Aptos" w:hAnsi="Aptos" w:cstheme="minorHAnsi"/>
                <w:b/>
                <w:bCs/>
              </w:rPr>
              <w:t>s</w:t>
            </w:r>
            <w:r w:rsidR="003B414F" w:rsidRPr="009725E3">
              <w:rPr>
                <w:rFonts w:ascii="Aptos" w:hAnsi="Aptos" w:cstheme="minorHAnsi"/>
                <w:b/>
                <w:bCs/>
              </w:rPr>
              <w:t xml:space="preserve"> </w:t>
            </w:r>
            <w:r w:rsidR="0026221B" w:rsidRPr="009725E3">
              <w:rPr>
                <w:rFonts w:ascii="Aptos" w:hAnsi="Aptos" w:cstheme="minorHAnsi"/>
                <w:b/>
                <w:bCs/>
              </w:rPr>
              <w:t xml:space="preserve">diabetes </w:t>
            </w:r>
            <w:r w:rsidR="003B414F" w:rsidRPr="009725E3">
              <w:rPr>
                <w:rFonts w:ascii="Aptos" w:hAnsi="Aptos" w:cstheme="minorHAnsi"/>
                <w:b/>
                <w:bCs/>
              </w:rPr>
              <w:t>regimen safety and lower</w:t>
            </w:r>
            <w:r w:rsidR="0026221B" w:rsidRPr="009725E3">
              <w:rPr>
                <w:rFonts w:ascii="Aptos" w:hAnsi="Aptos" w:cstheme="minorHAnsi"/>
                <w:b/>
                <w:bCs/>
              </w:rPr>
              <w:t>s</w:t>
            </w:r>
            <w:r w:rsidR="003B414F" w:rsidRPr="009725E3">
              <w:rPr>
                <w:rFonts w:ascii="Aptos" w:hAnsi="Aptos" w:cstheme="minorHAnsi"/>
                <w:b/>
                <w:bCs/>
              </w:rPr>
              <w:t xml:space="preserve"> the rates of hypoglycemia</w:t>
            </w:r>
            <w:r w:rsidR="003B414F" w:rsidRPr="009725E3">
              <w:rPr>
                <w:rFonts w:ascii="Aptos" w:hAnsi="Aptos" w:cstheme="minorHAnsi"/>
              </w:rPr>
              <w:t xml:space="preserve">. </w:t>
            </w:r>
            <w:r w:rsidR="009C543D" w:rsidRPr="009725E3">
              <w:rPr>
                <w:rFonts w:ascii="Aptos" w:eastAsia="Arial" w:hAnsi="Aptos" w:cstheme="minorHAnsi"/>
                <w:b/>
                <w:bCs/>
                <w:color w:val="373D3F"/>
              </w:rPr>
              <w:t xml:space="preserve"> </w:t>
            </w:r>
            <w:r w:rsidR="003B414F" w:rsidRPr="009725E3">
              <w:rPr>
                <w:rFonts w:ascii="Aptos" w:eastAsia="Arial" w:hAnsi="Aptos" w:cstheme="minorHAnsi"/>
                <w:b/>
                <w:bCs/>
                <w:color w:val="373D3F"/>
              </w:rPr>
              <w:t xml:space="preserve">Adding </w:t>
            </w:r>
            <w:r w:rsidR="009C543D" w:rsidRPr="009725E3">
              <w:rPr>
                <w:rFonts w:ascii="Aptos" w:eastAsia="Arial" w:hAnsi="Aptos" w:cstheme="minorHAnsi"/>
                <w:b/>
                <w:bCs/>
                <w:color w:val="373D3F"/>
              </w:rPr>
              <w:t xml:space="preserve">clinical pharmacists </w:t>
            </w:r>
            <w:r w:rsidR="003B414F" w:rsidRPr="009725E3">
              <w:rPr>
                <w:rFonts w:ascii="Aptos" w:eastAsia="Arial" w:hAnsi="Aptos" w:cstheme="minorHAnsi"/>
                <w:b/>
                <w:bCs/>
                <w:color w:val="373D3F"/>
              </w:rPr>
              <w:t xml:space="preserve">trained to implement the HOAP algorithm (i.e., Hypoglycemia Champion) </w:t>
            </w:r>
            <w:r w:rsidR="009C543D" w:rsidRPr="009725E3">
              <w:rPr>
                <w:rFonts w:ascii="Aptos" w:eastAsia="Arial" w:hAnsi="Aptos" w:cstheme="minorHAnsi"/>
                <w:b/>
                <w:bCs/>
                <w:color w:val="373D3F"/>
              </w:rPr>
              <w:t>into collaborative team-based care improves medication optimization and patient outcomes</w:t>
            </w:r>
            <w:r w:rsidR="009C543D" w:rsidRPr="009725E3">
              <w:rPr>
                <w:rFonts w:ascii="Aptos" w:hAnsi="Aptos" w:cstheme="minorHAnsi"/>
                <w:b/>
                <w:bCs/>
              </w:rPr>
              <w:t xml:space="preserve">. This approach </w:t>
            </w:r>
            <w:r w:rsidR="009C543D" w:rsidRPr="009725E3">
              <w:rPr>
                <w:rFonts w:ascii="Aptos" w:eastAsia="Arial" w:hAnsi="Aptos" w:cstheme="minorHAnsi"/>
                <w:b/>
                <w:bCs/>
                <w:color w:val="000000" w:themeColor="text1"/>
              </w:rPr>
              <w:t>provides an evidence-based, targeted strategy for</w:t>
            </w:r>
            <w:r w:rsidR="009C543D" w:rsidRPr="009725E3">
              <w:rPr>
                <w:rFonts w:ascii="Aptos" w:eastAsia="Arial" w:hAnsi="Aptos" w:cstheme="minorHAnsi"/>
                <w:b/>
                <w:bCs/>
              </w:rPr>
              <w:t xml:space="preserve"> preventing severe hypoglycemia in high-risk individuals that enhances patient safety and potentially reduces overall health care cost.</w:t>
            </w:r>
            <w:r w:rsidR="003B414F" w:rsidRPr="009725E3">
              <w:rPr>
                <w:rFonts w:ascii="Aptos" w:eastAsia="Arial" w:hAnsi="Aptos" w:cstheme="minorHAnsi"/>
                <w:b/>
                <w:bCs/>
              </w:rPr>
              <w:t xml:space="preserve"> </w:t>
            </w:r>
            <w:r w:rsidR="003B414F" w:rsidRPr="009725E3">
              <w:rPr>
                <w:rFonts w:ascii="Aptos" w:hAnsi="Aptos" w:cstheme="minorHAnsi"/>
              </w:rPr>
              <w:t xml:space="preserve"> </w:t>
            </w:r>
          </w:p>
        </w:tc>
      </w:tr>
      <w:tr w:rsidR="008E6D2C" w:rsidRPr="009725E3" w14:paraId="57800790" w14:textId="77777777" w:rsidTr="002F2BB4">
        <w:trPr>
          <w:trHeight w:val="816"/>
          <w:jc w:val="center"/>
        </w:trPr>
        <w:tc>
          <w:tcPr>
            <w:tcW w:w="1960" w:type="dxa"/>
          </w:tcPr>
          <w:p w14:paraId="6C4E04AC" w14:textId="161310DB" w:rsidR="00CB0455" w:rsidRPr="009725E3" w:rsidRDefault="00CB0455" w:rsidP="002F2BB4">
            <w:pPr>
              <w:rPr>
                <w:rFonts w:ascii="Aptos" w:hAnsi="Aptos"/>
              </w:rPr>
            </w:pPr>
            <w:r w:rsidRPr="009725E3">
              <w:rPr>
                <w:rFonts w:ascii="Aptos" w:hAnsi="Aptos"/>
              </w:rPr>
              <w:t>Additional Recommendations</w:t>
            </w:r>
          </w:p>
        </w:tc>
        <w:tc>
          <w:tcPr>
            <w:tcW w:w="8745" w:type="dxa"/>
          </w:tcPr>
          <w:p w14:paraId="08163871" w14:textId="69197D9A" w:rsidR="00CB0455" w:rsidRPr="009725E3" w:rsidRDefault="00F13288" w:rsidP="002F2BB4">
            <w:pPr>
              <w:rPr>
                <w:rFonts w:ascii="Aptos" w:hAnsi="Aptos" w:cstheme="minorHAnsi"/>
              </w:rPr>
            </w:pPr>
            <w:r w:rsidRPr="009725E3">
              <w:rPr>
                <w:rFonts w:ascii="Aptos" w:eastAsia="Times New Roman" w:hAnsi="Aptos" w:cstheme="minorHAnsi"/>
              </w:rPr>
              <w:t>The Hypoglycemia on a Page algorithm was shared with KPNC stakeholders</w:t>
            </w:r>
            <w:r w:rsidRPr="009725E3">
              <w:rPr>
                <w:rFonts w:ascii="Aptos" w:eastAsia="GuardianTextEgypGR-Regular" w:hAnsi="Aptos" w:cstheme="minorHAnsi"/>
              </w:rPr>
              <w:t xml:space="preserve"> and</w:t>
            </w:r>
            <w:r w:rsidRPr="009725E3">
              <w:rPr>
                <w:rFonts w:ascii="Aptos" w:eastAsia="Times New Roman" w:hAnsi="Aptos" w:cstheme="minorHAnsi"/>
              </w:rPr>
              <w:t xml:space="preserve"> made available for general use by KPNC diabetes care providers by publishing it in the KP Clinical Library (i.e., passive dissemination). </w:t>
            </w:r>
            <w:r w:rsidR="00D85001" w:rsidRPr="009725E3">
              <w:rPr>
                <w:rFonts w:ascii="Aptos" w:hAnsi="Aptos" w:cstheme="minorHAnsi"/>
              </w:rPr>
              <w:t xml:space="preserve"> It is possible that a more rigorous provider education regarding the HOAP algorithm for APMs and PCPs would also improve outcomes. </w:t>
            </w:r>
            <w:r w:rsidR="00D85001" w:rsidRPr="009725E3">
              <w:rPr>
                <w:rFonts w:ascii="Aptos" w:eastAsia="Times New Roman" w:hAnsi="Aptos" w:cstheme="minorHAnsi"/>
              </w:rPr>
              <w:t>D</w:t>
            </w:r>
            <w:r w:rsidRPr="009725E3">
              <w:rPr>
                <w:rFonts w:ascii="Aptos" w:eastAsia="Times New Roman" w:hAnsi="Aptos" w:cstheme="minorHAnsi"/>
              </w:rPr>
              <w:t>iabetes providers likely need to receive more education on this topic, which has not been a high regional priority.</w:t>
            </w:r>
          </w:p>
        </w:tc>
      </w:tr>
      <w:tr w:rsidR="008E6D2C" w:rsidRPr="009725E3" w14:paraId="21F6FB6D" w14:textId="77777777" w:rsidTr="002F2BB4">
        <w:trPr>
          <w:trHeight w:val="552"/>
          <w:jc w:val="center"/>
        </w:trPr>
        <w:tc>
          <w:tcPr>
            <w:tcW w:w="1960" w:type="dxa"/>
          </w:tcPr>
          <w:p w14:paraId="511F380C" w14:textId="77777777" w:rsidR="0048655A" w:rsidRPr="009725E3" w:rsidRDefault="0048655A" w:rsidP="002F2BB4">
            <w:pPr>
              <w:spacing w:line="259" w:lineRule="auto"/>
              <w:rPr>
                <w:rFonts w:ascii="Aptos" w:hAnsi="Aptos"/>
              </w:rPr>
            </w:pPr>
            <w:r w:rsidRPr="009725E3">
              <w:rPr>
                <w:rFonts w:ascii="Aptos" w:hAnsi="Aptos"/>
              </w:rPr>
              <w:t>Implementation Tools</w:t>
            </w:r>
            <w:r w:rsidRPr="009725E3">
              <w:rPr>
                <w:rFonts w:ascii="Aptos" w:hAnsi="Aptos"/>
              </w:rPr>
              <w:tab/>
            </w:r>
          </w:p>
        </w:tc>
        <w:tc>
          <w:tcPr>
            <w:tcW w:w="8745" w:type="dxa"/>
          </w:tcPr>
          <w:p w14:paraId="35B5FEA6" w14:textId="1184356D" w:rsidR="0048655A" w:rsidRPr="009725E3" w:rsidRDefault="00F13288" w:rsidP="002F2BB4">
            <w:pPr>
              <w:spacing w:line="259" w:lineRule="auto"/>
              <w:rPr>
                <w:rFonts w:ascii="Aptos" w:hAnsi="Aptos"/>
              </w:rPr>
            </w:pPr>
            <w:r w:rsidRPr="009725E3">
              <w:rPr>
                <w:rFonts w:ascii="Aptos" w:hAnsi="Aptos"/>
              </w:rPr>
              <w:t xml:space="preserve">At this time, no additional resources exist to fund a “hypoglycemia champion”, as was used in our clinical trial. However, </w:t>
            </w:r>
            <w:r w:rsidR="0057196F" w:rsidRPr="009725E3">
              <w:rPr>
                <w:rFonts w:ascii="Aptos" w:hAnsi="Aptos"/>
              </w:rPr>
              <w:t xml:space="preserve">the effectiveness of </w:t>
            </w:r>
            <w:r w:rsidR="00F846BB" w:rsidRPr="009725E3">
              <w:rPr>
                <w:rFonts w:ascii="Aptos" w:hAnsi="Aptos"/>
              </w:rPr>
              <w:t xml:space="preserve">passive </w:t>
            </w:r>
            <w:r w:rsidR="0057196F" w:rsidRPr="009725E3">
              <w:rPr>
                <w:rFonts w:ascii="Aptos" w:hAnsi="Aptos"/>
              </w:rPr>
              <w:t>HOAP dissemination could</w:t>
            </w:r>
            <w:r w:rsidR="00A942A7" w:rsidRPr="009725E3">
              <w:rPr>
                <w:rFonts w:ascii="Aptos" w:hAnsi="Aptos"/>
              </w:rPr>
              <w:t xml:space="preserve"> </w:t>
            </w:r>
            <w:r w:rsidR="0057196F" w:rsidRPr="009725E3">
              <w:rPr>
                <w:rFonts w:ascii="Aptos" w:hAnsi="Aptos"/>
              </w:rPr>
              <w:t>be improved. W</w:t>
            </w:r>
            <w:r w:rsidRPr="009725E3">
              <w:rPr>
                <w:rFonts w:ascii="Aptos" w:hAnsi="Aptos"/>
              </w:rPr>
              <w:t>e propose to provide regional education</w:t>
            </w:r>
            <w:r w:rsidR="003E419B" w:rsidRPr="009725E3">
              <w:rPr>
                <w:rFonts w:ascii="Aptos" w:hAnsi="Aptos"/>
              </w:rPr>
              <w:t xml:space="preserve"> to the diabetes care providers </w:t>
            </w:r>
            <w:r w:rsidR="008D23D5" w:rsidRPr="009725E3">
              <w:rPr>
                <w:rFonts w:ascii="Aptos" w:hAnsi="Aptos"/>
              </w:rPr>
              <w:t xml:space="preserve">(APMs and PCPs) </w:t>
            </w:r>
            <w:r w:rsidR="003E419B" w:rsidRPr="009725E3">
              <w:rPr>
                <w:rFonts w:ascii="Aptos" w:hAnsi="Aptos"/>
              </w:rPr>
              <w:t>around the region</w:t>
            </w:r>
            <w:r w:rsidRPr="009725E3">
              <w:rPr>
                <w:rFonts w:ascii="Aptos" w:hAnsi="Aptos"/>
              </w:rPr>
              <w:t xml:space="preserve"> via “APM office hours”, sharing a more nuanced approach to diabetes control that includes </w:t>
            </w:r>
            <w:r w:rsidR="003E419B" w:rsidRPr="009725E3">
              <w:rPr>
                <w:rFonts w:ascii="Aptos" w:hAnsi="Aptos"/>
              </w:rPr>
              <w:t>strategies for reducing</w:t>
            </w:r>
            <w:r w:rsidRPr="009725E3">
              <w:rPr>
                <w:rFonts w:ascii="Aptos" w:hAnsi="Aptos"/>
              </w:rPr>
              <w:t xml:space="preserve"> hypoglycemia risk</w:t>
            </w:r>
            <w:r w:rsidR="003E419B" w:rsidRPr="009725E3">
              <w:rPr>
                <w:rFonts w:ascii="Aptos" w:hAnsi="Aptos"/>
              </w:rPr>
              <w:t xml:space="preserve"> while still meeting current HEDIS metrics</w:t>
            </w:r>
            <w:r w:rsidRPr="009725E3">
              <w:rPr>
                <w:rFonts w:ascii="Aptos" w:hAnsi="Aptos"/>
              </w:rPr>
              <w:t xml:space="preserve">. </w:t>
            </w:r>
            <w:r w:rsidR="00B53996" w:rsidRPr="009725E3">
              <w:rPr>
                <w:rFonts w:ascii="Aptos" w:hAnsi="Aptos"/>
              </w:rPr>
              <w:t>We also propose to incorporate a “hypoglycemia” risk flag into PROMPT (the population management tool used by the diabetes care managers and PCPs</w:t>
            </w:r>
            <w:r w:rsidR="00AC6059" w:rsidRPr="009725E3">
              <w:rPr>
                <w:rFonts w:ascii="Aptos" w:hAnsi="Aptos"/>
              </w:rPr>
              <w:t>)</w:t>
            </w:r>
            <w:r w:rsidR="00B53996" w:rsidRPr="009725E3">
              <w:rPr>
                <w:rFonts w:ascii="Aptos" w:hAnsi="Aptos"/>
              </w:rPr>
              <w:t>, since high risk patients are not easily identif</w:t>
            </w:r>
            <w:r w:rsidR="00AC6059" w:rsidRPr="009725E3">
              <w:rPr>
                <w:rFonts w:ascii="Aptos" w:hAnsi="Aptos"/>
              </w:rPr>
              <w:t>ied</w:t>
            </w:r>
            <w:r w:rsidR="00B53996" w:rsidRPr="009725E3">
              <w:rPr>
                <w:rFonts w:ascii="Aptos" w:hAnsi="Aptos"/>
              </w:rPr>
              <w:t xml:space="preserve"> by A1c levels. </w:t>
            </w:r>
          </w:p>
        </w:tc>
      </w:tr>
      <w:tr w:rsidR="008E6D2C" w:rsidRPr="009725E3" w14:paraId="02D4678D" w14:textId="77777777" w:rsidTr="002F2BB4">
        <w:trPr>
          <w:trHeight w:val="552"/>
          <w:jc w:val="center"/>
        </w:trPr>
        <w:tc>
          <w:tcPr>
            <w:tcW w:w="1960" w:type="dxa"/>
          </w:tcPr>
          <w:p w14:paraId="1B184543" w14:textId="77777777" w:rsidR="0048655A" w:rsidRPr="009725E3" w:rsidRDefault="0048655A" w:rsidP="002F2BB4">
            <w:pPr>
              <w:spacing w:line="259" w:lineRule="auto"/>
              <w:rPr>
                <w:rFonts w:ascii="Aptos" w:hAnsi="Aptos"/>
              </w:rPr>
            </w:pPr>
            <w:r w:rsidRPr="009725E3">
              <w:rPr>
                <w:rFonts w:ascii="Aptos" w:hAnsi="Aptos"/>
              </w:rPr>
              <w:t>Implementation Measurement</w:t>
            </w:r>
          </w:p>
        </w:tc>
        <w:tc>
          <w:tcPr>
            <w:tcW w:w="8745" w:type="dxa"/>
          </w:tcPr>
          <w:p w14:paraId="14A21518" w14:textId="22DFF6B9" w:rsidR="0048655A" w:rsidRPr="009725E3" w:rsidRDefault="003E419B" w:rsidP="002F2BB4">
            <w:pPr>
              <w:spacing w:line="259" w:lineRule="auto"/>
              <w:rPr>
                <w:rFonts w:ascii="Aptos" w:hAnsi="Aptos" w:cstheme="minorHAnsi"/>
              </w:rPr>
            </w:pPr>
            <w:r w:rsidRPr="009725E3">
              <w:rPr>
                <w:rFonts w:ascii="Aptos" w:hAnsi="Aptos" w:cstheme="minorHAnsi"/>
              </w:rPr>
              <w:t xml:space="preserve">One </w:t>
            </w:r>
            <w:r w:rsidR="00A942A7" w:rsidRPr="009725E3">
              <w:rPr>
                <w:rFonts w:ascii="Aptos" w:hAnsi="Aptos" w:cstheme="minorHAnsi"/>
              </w:rPr>
              <w:t xml:space="preserve">objective </w:t>
            </w:r>
            <w:r w:rsidRPr="009725E3">
              <w:rPr>
                <w:rFonts w:ascii="Aptos" w:hAnsi="Aptos" w:cstheme="minorHAnsi"/>
              </w:rPr>
              <w:t>measure of successful implementation of hypoglycemia risk reduction strategies is the new HEDIS measure which assesses emergency department visits for hypoglycemia in older adults with diabetes: “</w:t>
            </w:r>
            <w:hyperlink r:id="rId10">
              <w:r w:rsidRPr="009725E3">
                <w:rPr>
                  <w:rStyle w:val="Hyperlink"/>
                  <w:rFonts w:ascii="Aptos" w:hAnsi="Aptos" w:cstheme="minorHAnsi"/>
                </w:rPr>
                <w:t>Emergency Department Visits for Hypoglycemia in Older Adults with Diabetes</w:t>
              </w:r>
            </w:hyperlink>
            <w:r w:rsidR="009C786C" w:rsidRPr="009725E3">
              <w:rPr>
                <w:rStyle w:val="Hyperlink"/>
                <w:rFonts w:ascii="Aptos" w:hAnsi="Aptos" w:cstheme="minorHAnsi"/>
              </w:rPr>
              <w:t>”</w:t>
            </w:r>
          </w:p>
          <w:p w14:paraId="0D25EBD1" w14:textId="5808F835" w:rsidR="003E419B" w:rsidRPr="009725E3" w:rsidRDefault="003E419B" w:rsidP="002F2BB4">
            <w:pPr>
              <w:spacing w:line="259" w:lineRule="auto"/>
              <w:rPr>
                <w:rFonts w:ascii="Aptos" w:hAnsi="Aptos"/>
              </w:rPr>
            </w:pPr>
            <w:r w:rsidRPr="009725E3">
              <w:rPr>
                <w:rFonts w:ascii="Aptos" w:hAnsi="Aptos"/>
              </w:rPr>
              <w:t xml:space="preserve">In addition, we have seen </w:t>
            </w:r>
            <w:r w:rsidR="0026221B" w:rsidRPr="009725E3">
              <w:rPr>
                <w:rFonts w:ascii="Aptos" w:hAnsi="Aptos"/>
              </w:rPr>
              <w:t xml:space="preserve">markedly increased </w:t>
            </w:r>
            <w:r w:rsidRPr="009725E3">
              <w:rPr>
                <w:rFonts w:ascii="Aptos" w:hAnsi="Aptos"/>
              </w:rPr>
              <w:t xml:space="preserve">use of continuous glucose monitoring (CGM) in our insulin-treated diabetes patients. Once we have CGM data integrated into health connect, we will be able to </w:t>
            </w:r>
            <w:r w:rsidR="0026221B" w:rsidRPr="009725E3">
              <w:rPr>
                <w:rFonts w:ascii="Aptos" w:hAnsi="Aptos"/>
              </w:rPr>
              <w:t xml:space="preserve">more </w:t>
            </w:r>
            <w:r w:rsidRPr="009725E3">
              <w:rPr>
                <w:rFonts w:ascii="Aptos" w:hAnsi="Aptos"/>
              </w:rPr>
              <w:t xml:space="preserve">easily assess “time below range” (one of the CGM metrics), and this will serve as a direct measurement of implementation of hypoglycemia prevention strategies. In the future, HEDIS will be likely pivoting to include hypoglycemia-based metrics in the assessment of “good glycemic control” to which health plans are held accountable.  </w:t>
            </w:r>
          </w:p>
        </w:tc>
      </w:tr>
      <w:tr w:rsidR="008E6D2C" w:rsidRPr="009725E3" w14:paraId="66558595" w14:textId="77777777" w:rsidTr="002F2BB4">
        <w:trPr>
          <w:trHeight w:val="538"/>
          <w:jc w:val="center"/>
        </w:trPr>
        <w:tc>
          <w:tcPr>
            <w:tcW w:w="1960" w:type="dxa"/>
          </w:tcPr>
          <w:p w14:paraId="29954FA9" w14:textId="77777777" w:rsidR="0048655A" w:rsidRPr="009725E3" w:rsidRDefault="0048655A" w:rsidP="002F2BB4">
            <w:pPr>
              <w:spacing w:line="259" w:lineRule="auto"/>
              <w:rPr>
                <w:rFonts w:ascii="Aptos" w:hAnsi="Aptos"/>
              </w:rPr>
            </w:pPr>
            <w:r w:rsidRPr="009725E3">
              <w:rPr>
                <w:rFonts w:ascii="Aptos" w:hAnsi="Aptos"/>
              </w:rPr>
              <w:lastRenderedPageBreak/>
              <w:t>Reference</w:t>
            </w:r>
          </w:p>
        </w:tc>
        <w:tc>
          <w:tcPr>
            <w:tcW w:w="8745" w:type="dxa"/>
          </w:tcPr>
          <w:p w14:paraId="722DE921" w14:textId="060D3EBF" w:rsidR="0048655A" w:rsidRPr="009725E3" w:rsidRDefault="00597082" w:rsidP="002F2BB4">
            <w:pPr>
              <w:spacing w:line="259" w:lineRule="auto"/>
              <w:rPr>
                <w:rFonts w:ascii="Aptos" w:hAnsi="Aptos" w:cstheme="minorHAnsi"/>
              </w:rPr>
            </w:pPr>
            <w:r w:rsidRPr="009725E3">
              <w:rPr>
                <w:rFonts w:ascii="Aptos" w:hAnsi="Aptos" w:cstheme="minorHAnsi"/>
                <w:noProof/>
              </w:rPr>
              <w:drawing>
                <wp:inline distT="0" distB="0" distL="0" distR="0" wp14:anchorId="452CD005" wp14:editId="50D0E957">
                  <wp:extent cx="5416259" cy="3328416"/>
                  <wp:effectExtent l="0" t="0" r="0" b="5715"/>
                  <wp:docPr id="1843574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74624" name=""/>
                          <pic:cNvPicPr/>
                        </pic:nvPicPr>
                        <pic:blipFill>
                          <a:blip r:embed="rId11"/>
                          <a:stretch>
                            <a:fillRect/>
                          </a:stretch>
                        </pic:blipFill>
                        <pic:spPr>
                          <a:xfrm>
                            <a:off x="0" y="0"/>
                            <a:ext cx="5433344" cy="3338915"/>
                          </a:xfrm>
                          <a:prstGeom prst="rect">
                            <a:avLst/>
                          </a:prstGeom>
                        </pic:spPr>
                      </pic:pic>
                    </a:graphicData>
                  </a:graphic>
                </wp:inline>
              </w:drawing>
            </w:r>
          </w:p>
        </w:tc>
      </w:tr>
      <w:bookmarkEnd w:id="0"/>
    </w:tbl>
    <w:p w14:paraId="62800767" w14:textId="77777777" w:rsidR="00FE6194" w:rsidRPr="009725E3" w:rsidRDefault="00FE6194" w:rsidP="00C73A94">
      <w:pPr>
        <w:spacing w:after="0"/>
        <w:rPr>
          <w:rFonts w:ascii="Aptos" w:hAnsi="Aptos"/>
        </w:rPr>
      </w:pPr>
    </w:p>
    <w:sectPr w:rsidR="00FE6194" w:rsidRPr="009725E3" w:rsidSect="005C55A5">
      <w:headerReference w:type="default" r:id="rId12"/>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F9BE" w14:textId="77777777" w:rsidR="009E3120" w:rsidRDefault="009E3120" w:rsidP="00DF715C">
      <w:pPr>
        <w:spacing w:after="0" w:line="240" w:lineRule="auto"/>
      </w:pPr>
      <w:r>
        <w:separator/>
      </w:r>
    </w:p>
  </w:endnote>
  <w:endnote w:type="continuationSeparator" w:id="0">
    <w:p w14:paraId="623518A5" w14:textId="77777777" w:rsidR="009E3120" w:rsidRDefault="009E3120" w:rsidP="00DF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ardianTextEgypGR-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53CD" w14:textId="77777777" w:rsidR="009E3120" w:rsidRDefault="009E3120" w:rsidP="00DF715C">
      <w:pPr>
        <w:spacing w:after="0" w:line="240" w:lineRule="auto"/>
      </w:pPr>
      <w:r>
        <w:separator/>
      </w:r>
    </w:p>
  </w:footnote>
  <w:footnote w:type="continuationSeparator" w:id="0">
    <w:p w14:paraId="0B5B2E37" w14:textId="77777777" w:rsidR="009E3120" w:rsidRDefault="009E3120" w:rsidP="00DF7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381B" w14:textId="6925ADBB" w:rsidR="00DF715C" w:rsidRDefault="00DF715C">
    <w:pPr>
      <w:pStyle w:val="Header"/>
      <w:rPr>
        <w:rFonts w:ascii="Arial" w:hAnsi="Arial" w:cs="Arial"/>
        <w:sz w:val="20"/>
        <w:szCs w:val="20"/>
      </w:rPr>
    </w:pPr>
    <w:r w:rsidRPr="004A0B18">
      <w:rPr>
        <w:rFonts w:ascii="Arial" w:hAnsi="Arial" w:cs="Arial"/>
        <w:sz w:val="20"/>
        <w:szCs w:val="20"/>
      </w:rPr>
      <w:t>Gilliam/</w:t>
    </w:r>
    <w:r>
      <w:rPr>
        <w:rFonts w:ascii="Arial" w:hAnsi="Arial" w:cs="Arial"/>
        <w:sz w:val="20"/>
        <w:szCs w:val="20"/>
      </w:rPr>
      <w:t>Grant</w:t>
    </w:r>
    <w:r w:rsidRPr="004A0B18">
      <w:rPr>
        <w:rFonts w:ascii="Arial" w:hAnsi="Arial" w:cs="Arial"/>
        <w:sz w:val="20"/>
        <w:szCs w:val="20"/>
      </w:rPr>
      <w:t xml:space="preserve"> – Hypoglycemia Prevention – </w:t>
    </w:r>
    <w:r>
      <w:rPr>
        <w:rFonts w:ascii="Arial" w:hAnsi="Arial" w:cs="Arial"/>
        <w:sz w:val="20"/>
        <w:szCs w:val="20"/>
      </w:rPr>
      <w:t>Spring</w:t>
    </w:r>
    <w:r w:rsidRPr="004A0B18">
      <w:rPr>
        <w:rFonts w:ascii="Arial" w:hAnsi="Arial" w:cs="Arial"/>
        <w:sz w:val="20"/>
        <w:szCs w:val="20"/>
      </w:rPr>
      <w:t xml:space="preserve"> 2022</w:t>
    </w:r>
    <w:r w:rsidR="00626503">
      <w:rPr>
        <w:rFonts w:ascii="Arial" w:hAnsi="Arial" w:cs="Arial"/>
        <w:sz w:val="20"/>
        <w:szCs w:val="20"/>
      </w:rPr>
      <w:tab/>
      <w:t>Final Report</w:t>
    </w:r>
  </w:p>
  <w:p w14:paraId="30B32D1D" w14:textId="77777777" w:rsidR="00DF715C" w:rsidRPr="00DF715C" w:rsidRDefault="00DF715C">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0724C"/>
    <w:multiLevelType w:val="hybridMultilevel"/>
    <w:tmpl w:val="038A19D8"/>
    <w:lvl w:ilvl="0" w:tplc="78561C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61493"/>
    <w:multiLevelType w:val="hybridMultilevel"/>
    <w:tmpl w:val="76204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97093374">
    <w:abstractNumId w:val="3"/>
  </w:num>
  <w:num w:numId="2" w16cid:durableId="1553347821">
    <w:abstractNumId w:val="0"/>
  </w:num>
  <w:num w:numId="3" w16cid:durableId="1961186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5658587">
    <w:abstractNumId w:val="2"/>
  </w:num>
  <w:num w:numId="5" w16cid:durableId="156988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2151B"/>
    <w:rsid w:val="0003036A"/>
    <w:rsid w:val="00042925"/>
    <w:rsid w:val="000811DB"/>
    <w:rsid w:val="000A31E7"/>
    <w:rsid w:val="000E1AED"/>
    <w:rsid w:val="000F417D"/>
    <w:rsid w:val="001516C1"/>
    <w:rsid w:val="001D52BB"/>
    <w:rsid w:val="001E348B"/>
    <w:rsid w:val="001E5BC1"/>
    <w:rsid w:val="00245565"/>
    <w:rsid w:val="0024757B"/>
    <w:rsid w:val="0026221B"/>
    <w:rsid w:val="002A1A00"/>
    <w:rsid w:val="002D2122"/>
    <w:rsid w:val="002E0FFE"/>
    <w:rsid w:val="002F2BB4"/>
    <w:rsid w:val="0031051B"/>
    <w:rsid w:val="00312336"/>
    <w:rsid w:val="00345686"/>
    <w:rsid w:val="00370840"/>
    <w:rsid w:val="003A1DFE"/>
    <w:rsid w:val="003B414F"/>
    <w:rsid w:val="003D755D"/>
    <w:rsid w:val="003E27D1"/>
    <w:rsid w:val="003E34C5"/>
    <w:rsid w:val="003E419B"/>
    <w:rsid w:val="00476DB7"/>
    <w:rsid w:val="00480693"/>
    <w:rsid w:val="0048655A"/>
    <w:rsid w:val="00494F61"/>
    <w:rsid w:val="00514319"/>
    <w:rsid w:val="0057196F"/>
    <w:rsid w:val="005735CF"/>
    <w:rsid w:val="00582568"/>
    <w:rsid w:val="00597082"/>
    <w:rsid w:val="005A01D5"/>
    <w:rsid w:val="005C55A5"/>
    <w:rsid w:val="00626503"/>
    <w:rsid w:val="00640D12"/>
    <w:rsid w:val="006A5F9F"/>
    <w:rsid w:val="006D1AE4"/>
    <w:rsid w:val="006D32D2"/>
    <w:rsid w:val="00703805"/>
    <w:rsid w:val="0072563B"/>
    <w:rsid w:val="00773145"/>
    <w:rsid w:val="00777238"/>
    <w:rsid w:val="007B1DC3"/>
    <w:rsid w:val="008131C8"/>
    <w:rsid w:val="00813745"/>
    <w:rsid w:val="00822A21"/>
    <w:rsid w:val="0082771F"/>
    <w:rsid w:val="00871F97"/>
    <w:rsid w:val="008A7C90"/>
    <w:rsid w:val="008D23D5"/>
    <w:rsid w:val="008D3599"/>
    <w:rsid w:val="008E5B97"/>
    <w:rsid w:val="008E6D2C"/>
    <w:rsid w:val="009001F2"/>
    <w:rsid w:val="009005FA"/>
    <w:rsid w:val="00933309"/>
    <w:rsid w:val="009576F1"/>
    <w:rsid w:val="009725E3"/>
    <w:rsid w:val="009A42EB"/>
    <w:rsid w:val="009C543D"/>
    <w:rsid w:val="009C786C"/>
    <w:rsid w:val="009E3120"/>
    <w:rsid w:val="009F3C5E"/>
    <w:rsid w:val="00A16BB1"/>
    <w:rsid w:val="00A702E0"/>
    <w:rsid w:val="00A942A7"/>
    <w:rsid w:val="00AB78C8"/>
    <w:rsid w:val="00AC6059"/>
    <w:rsid w:val="00AE7FE6"/>
    <w:rsid w:val="00B17059"/>
    <w:rsid w:val="00B53996"/>
    <w:rsid w:val="00BA2786"/>
    <w:rsid w:val="00BF3588"/>
    <w:rsid w:val="00C33C6E"/>
    <w:rsid w:val="00C3487D"/>
    <w:rsid w:val="00C379CD"/>
    <w:rsid w:val="00C4025A"/>
    <w:rsid w:val="00C72BC2"/>
    <w:rsid w:val="00C73A94"/>
    <w:rsid w:val="00CB0455"/>
    <w:rsid w:val="00CF4301"/>
    <w:rsid w:val="00D003F1"/>
    <w:rsid w:val="00D1382C"/>
    <w:rsid w:val="00D24534"/>
    <w:rsid w:val="00D85001"/>
    <w:rsid w:val="00DF715C"/>
    <w:rsid w:val="00E8740F"/>
    <w:rsid w:val="00EB0401"/>
    <w:rsid w:val="00EF635D"/>
    <w:rsid w:val="00EF6EE1"/>
    <w:rsid w:val="00F13288"/>
    <w:rsid w:val="00F56627"/>
    <w:rsid w:val="00F846BB"/>
    <w:rsid w:val="00F91EB4"/>
    <w:rsid w:val="00F9414E"/>
    <w:rsid w:val="00FA302F"/>
    <w:rsid w:val="00FE6194"/>
    <w:rsid w:val="0B4BE6C0"/>
    <w:rsid w:val="1A557A28"/>
    <w:rsid w:val="25810615"/>
    <w:rsid w:val="30BD5087"/>
    <w:rsid w:val="497FDF61"/>
    <w:rsid w:val="4E551E08"/>
    <w:rsid w:val="4FB77DDF"/>
    <w:rsid w:val="6A7FBBC2"/>
    <w:rsid w:val="7CED1D38"/>
    <w:rsid w:val="7FD5B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link w:val="ListParagraphChar"/>
    <w:uiPriority w:val="34"/>
    <w:qFormat/>
    <w:rsid w:val="00871F97"/>
    <w:pPr>
      <w:spacing w:after="0" w:line="240" w:lineRule="auto"/>
      <w:ind w:left="720"/>
      <w:contextualSpacing/>
    </w:pPr>
    <w:rPr>
      <w:rFonts w:ascii="Times New Roman" w:hAnsi="Times New Roman"/>
      <w:sz w:val="24"/>
    </w:rPr>
  </w:style>
  <w:style w:type="character" w:styleId="Strong">
    <w:name w:val="Strong"/>
    <w:basedOn w:val="DefaultParagraphFont"/>
    <w:uiPriority w:val="22"/>
    <w:qFormat/>
    <w:rsid w:val="00480693"/>
    <w:rPr>
      <w:b/>
      <w:bCs/>
    </w:rPr>
  </w:style>
  <w:style w:type="character" w:customStyle="1" w:styleId="ListParagraphChar">
    <w:name w:val="List Paragraph Char"/>
    <w:basedOn w:val="DefaultParagraphFont"/>
    <w:link w:val="ListParagraph"/>
    <w:uiPriority w:val="34"/>
    <w:rsid w:val="00480693"/>
    <w:rPr>
      <w:rFonts w:ascii="Times New Roman" w:hAnsi="Times New Roman"/>
      <w:sz w:val="24"/>
    </w:rPr>
  </w:style>
  <w:style w:type="character" w:styleId="CommentReference">
    <w:name w:val="annotation reference"/>
    <w:basedOn w:val="DefaultParagraphFont"/>
    <w:uiPriority w:val="99"/>
    <w:semiHidden/>
    <w:unhideWhenUsed/>
    <w:rsid w:val="00703805"/>
    <w:rPr>
      <w:sz w:val="16"/>
      <w:szCs w:val="16"/>
    </w:rPr>
  </w:style>
  <w:style w:type="paragraph" w:styleId="CommentText">
    <w:name w:val="annotation text"/>
    <w:basedOn w:val="Normal"/>
    <w:link w:val="CommentTextChar"/>
    <w:uiPriority w:val="99"/>
    <w:unhideWhenUsed/>
    <w:rsid w:val="00703805"/>
    <w:pPr>
      <w:spacing w:line="240" w:lineRule="auto"/>
    </w:pPr>
    <w:rPr>
      <w:sz w:val="20"/>
      <w:szCs w:val="20"/>
    </w:rPr>
  </w:style>
  <w:style w:type="character" w:customStyle="1" w:styleId="CommentTextChar">
    <w:name w:val="Comment Text Char"/>
    <w:basedOn w:val="DefaultParagraphFont"/>
    <w:link w:val="CommentText"/>
    <w:uiPriority w:val="99"/>
    <w:rsid w:val="00703805"/>
    <w:rPr>
      <w:sz w:val="20"/>
      <w:szCs w:val="20"/>
    </w:rPr>
  </w:style>
  <w:style w:type="paragraph" w:styleId="CommentSubject">
    <w:name w:val="annotation subject"/>
    <w:basedOn w:val="CommentText"/>
    <w:next w:val="CommentText"/>
    <w:link w:val="CommentSubjectChar"/>
    <w:uiPriority w:val="99"/>
    <w:semiHidden/>
    <w:unhideWhenUsed/>
    <w:rsid w:val="00703805"/>
    <w:rPr>
      <w:b/>
      <w:bCs/>
    </w:rPr>
  </w:style>
  <w:style w:type="character" w:customStyle="1" w:styleId="CommentSubjectChar">
    <w:name w:val="Comment Subject Char"/>
    <w:basedOn w:val="CommentTextChar"/>
    <w:link w:val="CommentSubject"/>
    <w:uiPriority w:val="99"/>
    <w:semiHidden/>
    <w:rsid w:val="00703805"/>
    <w:rPr>
      <w:b/>
      <w:bCs/>
      <w:sz w:val="20"/>
      <w:szCs w:val="20"/>
    </w:rPr>
  </w:style>
  <w:style w:type="paragraph" w:styleId="Header">
    <w:name w:val="header"/>
    <w:basedOn w:val="Normal"/>
    <w:link w:val="HeaderChar"/>
    <w:uiPriority w:val="99"/>
    <w:unhideWhenUsed/>
    <w:rsid w:val="00DF7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5C"/>
  </w:style>
  <w:style w:type="paragraph" w:styleId="Footer">
    <w:name w:val="footer"/>
    <w:basedOn w:val="Normal"/>
    <w:link w:val="FooterChar"/>
    <w:uiPriority w:val="99"/>
    <w:unhideWhenUsed/>
    <w:rsid w:val="00DF7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5C"/>
  </w:style>
  <w:style w:type="paragraph" w:styleId="Revision">
    <w:name w:val="Revision"/>
    <w:hidden/>
    <w:uiPriority w:val="99"/>
    <w:semiHidden/>
    <w:rsid w:val="00822A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ncqa.org/wp-content/uploads/2021/02/15.-Notification-of-Changes-Memo.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dee55-8f81-4fce-8723-6b5386cf2f65">
      <Terms xmlns="http://schemas.microsoft.com/office/infopath/2007/PartnerControls"/>
    </lcf76f155ced4ddcb4097134ff3c332f>
    <TaxCatchAll xmlns="b54af9a1-2011-43b2-97bb-5358889b34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D59ED8917B44A9736D68C67530545" ma:contentTypeVersion="10" ma:contentTypeDescription="Create a new document." ma:contentTypeScope="" ma:versionID="ba8de040435e5976d7d204637790442c">
  <xsd:schema xmlns:xsd="http://www.w3.org/2001/XMLSchema" xmlns:xs="http://www.w3.org/2001/XMLSchema" xmlns:p="http://schemas.microsoft.com/office/2006/metadata/properties" xmlns:ns2="460dee55-8f81-4fce-8723-6b5386cf2f65" xmlns:ns3="b54af9a1-2011-43b2-97bb-5358889b345e" targetNamespace="http://schemas.microsoft.com/office/2006/metadata/properties" ma:root="true" ma:fieldsID="cc50672bc9161ea59b7b7e041196b03a" ns2:_="" ns3:_="">
    <xsd:import namespace="460dee55-8f81-4fce-8723-6b5386cf2f65"/>
    <xsd:import namespace="b54af9a1-2011-43b2-97bb-5358889b3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dee55-8f81-4fce-8723-6b5386cf2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af9a1-2011-43b2-97bb-5358889b3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105c15-4fcb-40bc-b3bc-81680c3fd9f1}" ma:internalName="TaxCatchAll" ma:showField="CatchAllData" ma:web="b54af9a1-2011-43b2-97bb-5358889b3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460dee55-8f81-4fce-8723-6b5386cf2f65"/>
    <ds:schemaRef ds:uri="b54af9a1-2011-43b2-97bb-5358889b345e"/>
  </ds:schemaRefs>
</ds:datastoreItem>
</file>

<file path=customXml/itemProps2.xml><?xml version="1.0" encoding="utf-8"?>
<ds:datastoreItem xmlns:ds="http://schemas.openxmlformats.org/officeDocument/2006/customXml" ds:itemID="{422B8E45-4B7B-44CA-883D-6EABF409C33D}">
  <ds:schemaRefs>
    <ds:schemaRef ds:uri="http://schemas.microsoft.com/sharepoint/v3/contenttype/forms"/>
  </ds:schemaRefs>
</ds:datastoreItem>
</file>

<file path=customXml/itemProps3.xml><?xml version="1.0" encoding="utf-8"?>
<ds:datastoreItem xmlns:ds="http://schemas.openxmlformats.org/officeDocument/2006/customXml" ds:itemID="{4634A355-D75B-4063-AC35-A76A0136D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dee55-8f81-4fce-8723-6b5386cf2f65"/>
    <ds:schemaRef ds:uri="b54af9a1-2011-43b2-97bb-5358889b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1375</Words>
  <Characters>7838</Characters>
  <Application>Microsoft Office Word</Application>
  <DocSecurity>0</DocSecurity>
  <Lines>65</Lines>
  <Paragraphs>18</Paragraphs>
  <ScaleCrop>false</ScaleCrop>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4</cp:revision>
  <dcterms:created xsi:type="dcterms:W3CDTF">2026-05-19T20:25:00Z</dcterms:created>
  <dcterms:modified xsi:type="dcterms:W3CDTF">2026-05-19T20:27:00Z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0x01010039ED59ED8917B44A9736D68C67530545</vt:lpwstr>
  </property>
  <property fmtid="{D5CDD505-2E9C-101B-9397-08002B2CF9AE}" pid="3" name="MediaServiceImageTags">
    <vt:lpwstr/>
  </property>
</Properties>
</file>