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C6B1053" w14:textId="77777777" w:rsidR="00ED08C3" w:rsidRPr="00ED08C3" w:rsidRDefault="00245565" w:rsidP="002804C3">
      <w:pPr>
        <w:rPr>
          <w:rFonts w:eastAsia="Calibri" w:cstheme="minorHAnsi"/>
        </w:rPr>
      </w:pPr>
      <w:r w:rsidRPr="00ED08C3">
        <w:rPr>
          <w:rFonts w:eastAsia="Calibri" w:cstheme="minorHAnsi"/>
        </w:rPr>
        <w:t>Delivery Science Grants Program</w:t>
      </w:r>
    </w:p>
    <w:p w14:paraId="0A692011" w14:textId="03FDD707" w:rsidR="00166A65" w:rsidRPr="00ED08C3" w:rsidRDefault="002804C3" w:rsidP="00ED08C3">
      <w:pPr>
        <w:rPr>
          <w:rFonts w:eastAsia="Calibri" w:cstheme="minorHAnsi"/>
        </w:rPr>
      </w:pPr>
      <w:r w:rsidRPr="00ED08C3">
        <w:rPr>
          <w:rFonts w:cstheme="minorHAnsi"/>
          <w:color w:val="4472C4" w:themeColor="accent1"/>
        </w:rPr>
        <w:t xml:space="preserve">Use of and outcomes related to intrapleural fibrinolytic therapy for complicated parapneumonic effusion and empyema in an integrated health system </w:t>
      </w:r>
      <w:r w:rsidR="00936A7C" w:rsidRPr="00ED08C3">
        <w:rPr>
          <w:rFonts w:cstheme="minorHAnsi"/>
          <w:sz w:val="18"/>
          <w:szCs w:val="18"/>
        </w:rPr>
        <w:t>Eduardo Solbes MD, Khanh K Thai MS, Patricia Kipnis PhD, Kathleen A. Daly BS, Lori C. Sakoda PhD, MPH</w:t>
      </w:r>
      <w:r w:rsidR="00934148" w:rsidRPr="00ED08C3">
        <w:rPr>
          <w:rFonts w:cstheme="minorHAnsi"/>
          <w:sz w:val="18"/>
          <w:szCs w:val="18"/>
        </w:rPr>
        <w:t xml:space="preserve">, </w:t>
      </w:r>
      <w:r w:rsidR="00936A7C" w:rsidRPr="00ED08C3">
        <w:rPr>
          <w:rFonts w:cstheme="minorHAnsi"/>
          <w:sz w:val="18"/>
          <w:szCs w:val="18"/>
        </w:rPr>
        <w:t>Jeffrey B.  Velotta MD</w:t>
      </w:r>
      <w:r w:rsidR="00934148" w:rsidRPr="00ED08C3">
        <w:rPr>
          <w:rFonts w:cstheme="minorHAnsi"/>
          <w:sz w:val="18"/>
          <w:szCs w:val="18"/>
        </w:rPr>
        <w:t xml:space="preserve">, </w:t>
      </w:r>
      <w:r w:rsidR="00936A7C" w:rsidRPr="00ED08C3">
        <w:rPr>
          <w:rFonts w:cstheme="minorHAnsi"/>
          <w:sz w:val="18"/>
          <w:szCs w:val="18"/>
        </w:rPr>
        <w:t>Vincent X. Liu MD MS</w:t>
      </w:r>
      <w:r w:rsidR="00934148" w:rsidRPr="00ED08C3">
        <w:rPr>
          <w:rFonts w:cstheme="minorHAnsi"/>
          <w:sz w:val="18"/>
          <w:szCs w:val="18"/>
        </w:rPr>
        <w:t xml:space="preserve">, </w:t>
      </w:r>
      <w:r w:rsidR="00936A7C" w:rsidRPr="00ED08C3">
        <w:rPr>
          <w:rFonts w:cstheme="minorHAnsi"/>
          <w:sz w:val="18"/>
          <w:szCs w:val="18"/>
        </w:rPr>
        <w:t>Laura C. Myers MD MPH</w:t>
      </w:r>
    </w:p>
    <w:p w14:paraId="7D76C285" w14:textId="01C91E73" w:rsidR="00BA2786" w:rsidRPr="00ED08C3" w:rsidRDefault="00BA2786" w:rsidP="00D24534">
      <w:pPr>
        <w:spacing w:after="0"/>
        <w:rPr>
          <w:rFonts w:cstheme="minorHAnsi"/>
          <w:sz w:val="18"/>
          <w:szCs w:val="18"/>
        </w:rPr>
      </w:pPr>
      <w:r w:rsidRPr="00ED08C3">
        <w:rPr>
          <w:rFonts w:cstheme="minorHAnsi"/>
          <w:sz w:val="18"/>
          <w:szCs w:val="18"/>
        </w:rPr>
        <w:t>Project start and end dates:</w:t>
      </w:r>
      <w:r w:rsidR="001A6E37" w:rsidRPr="00ED08C3">
        <w:rPr>
          <w:rFonts w:cstheme="minorHAnsi"/>
          <w:sz w:val="18"/>
          <w:szCs w:val="18"/>
        </w:rPr>
        <w:t xml:space="preserve"> July 2023-July 2025</w:t>
      </w:r>
    </w:p>
    <w:tbl>
      <w:tblPr>
        <w:tblStyle w:val="TableGrid"/>
        <w:tblpPr w:leftFromText="180" w:rightFromText="180" w:vertAnchor="page" w:horzAnchor="margin" w:tblpY="2581"/>
        <w:tblW w:w="10790" w:type="dxa"/>
        <w:tblLayout w:type="fixed"/>
        <w:tblLook w:val="04A0" w:firstRow="1" w:lastRow="0" w:firstColumn="1" w:lastColumn="0" w:noHBand="0" w:noVBand="1"/>
      </w:tblPr>
      <w:tblGrid>
        <w:gridCol w:w="2196"/>
        <w:gridCol w:w="8594"/>
      </w:tblGrid>
      <w:tr w:rsidR="008E6D2C" w:rsidRPr="00ED08C3" w14:paraId="307289BF" w14:textId="77777777" w:rsidTr="00DA3D86">
        <w:trPr>
          <w:trHeight w:val="816"/>
        </w:trPr>
        <w:tc>
          <w:tcPr>
            <w:tcW w:w="2196" w:type="dxa"/>
          </w:tcPr>
          <w:p w14:paraId="2C7E2D09" w14:textId="77777777" w:rsidR="0048655A" w:rsidRPr="00ED08C3" w:rsidRDefault="0048655A" w:rsidP="0048655A">
            <w:pPr>
              <w:spacing w:line="259" w:lineRule="auto"/>
              <w:rPr>
                <w:rFonts w:cstheme="minorHAnsi"/>
              </w:rPr>
            </w:pPr>
            <w:bookmarkStart w:id="0" w:name="_Hlk54105970"/>
            <w:r w:rsidRPr="00ED08C3">
              <w:rPr>
                <w:rFonts w:cstheme="minorHAnsi"/>
              </w:rPr>
              <w:t>Challenge</w:t>
            </w:r>
          </w:p>
        </w:tc>
        <w:tc>
          <w:tcPr>
            <w:tcW w:w="8594" w:type="dxa"/>
          </w:tcPr>
          <w:p w14:paraId="307F8952" w14:textId="77777777" w:rsidR="0048655A" w:rsidRPr="00ED08C3" w:rsidRDefault="3C55C3DC" w:rsidP="0048655A">
            <w:pPr>
              <w:spacing w:line="259" w:lineRule="auto"/>
              <w:rPr>
                <w:rFonts w:cstheme="minorHAnsi"/>
                <w:b/>
                <w:bCs/>
              </w:rPr>
            </w:pPr>
            <w:r w:rsidRPr="00ED08C3">
              <w:rPr>
                <w:rFonts w:cstheme="minorHAnsi"/>
                <w:b/>
                <w:bCs/>
              </w:rPr>
              <w:t xml:space="preserve">As a health system, operationally we are currently not delivering MIST-2 dosing of intrapleural medications for complicated parapneumonic effusion/empyema in an evidence-based way. We sought to examine outcomes related to dosing </w:t>
            </w:r>
            <w:proofErr w:type="gramStart"/>
            <w:r w:rsidRPr="00ED08C3">
              <w:rPr>
                <w:rFonts w:cstheme="minorHAnsi"/>
                <w:b/>
                <w:bCs/>
              </w:rPr>
              <w:t>in order to</w:t>
            </w:r>
            <w:proofErr w:type="gramEnd"/>
            <w:r w:rsidRPr="00ED08C3">
              <w:rPr>
                <w:rFonts w:cstheme="minorHAnsi"/>
                <w:b/>
                <w:bCs/>
              </w:rPr>
              <w:t xml:space="preserve"> inform operations.</w:t>
            </w:r>
          </w:p>
          <w:p w14:paraId="7F9273D4" w14:textId="623E2B82" w:rsidR="003122F3" w:rsidRPr="00ED08C3" w:rsidRDefault="003122F3" w:rsidP="0048655A">
            <w:pPr>
              <w:spacing w:line="259" w:lineRule="auto"/>
              <w:rPr>
                <w:rFonts w:cstheme="minorHAnsi"/>
              </w:rPr>
            </w:pPr>
          </w:p>
        </w:tc>
      </w:tr>
      <w:tr w:rsidR="008E6D2C" w:rsidRPr="00ED08C3" w14:paraId="67D435C8" w14:textId="77777777" w:rsidTr="00DA3D86">
        <w:trPr>
          <w:trHeight w:val="1091"/>
        </w:trPr>
        <w:tc>
          <w:tcPr>
            <w:tcW w:w="2196" w:type="dxa"/>
          </w:tcPr>
          <w:p w14:paraId="351B366F" w14:textId="77777777" w:rsidR="0048655A" w:rsidRPr="00ED08C3" w:rsidRDefault="0048655A" w:rsidP="0048655A">
            <w:pPr>
              <w:spacing w:line="259" w:lineRule="auto"/>
              <w:rPr>
                <w:rFonts w:cstheme="minorHAnsi"/>
              </w:rPr>
            </w:pPr>
            <w:r w:rsidRPr="00ED08C3">
              <w:rPr>
                <w:rFonts w:cstheme="minorHAnsi"/>
              </w:rPr>
              <w:t>Existing Evidence</w:t>
            </w:r>
          </w:p>
        </w:tc>
        <w:tc>
          <w:tcPr>
            <w:tcW w:w="8594" w:type="dxa"/>
          </w:tcPr>
          <w:p w14:paraId="0DD30A37" w14:textId="676D0C23" w:rsidR="652DF0EE" w:rsidRPr="00ED08C3" w:rsidRDefault="652DF0EE" w:rsidP="5270F65D">
            <w:pPr>
              <w:spacing w:line="259" w:lineRule="auto"/>
              <w:rPr>
                <w:rFonts w:cstheme="minorHAnsi"/>
              </w:rPr>
            </w:pPr>
            <w:r w:rsidRPr="00ED08C3">
              <w:rPr>
                <w:rFonts w:cstheme="minorHAnsi"/>
              </w:rPr>
              <w:t xml:space="preserve">The </w:t>
            </w:r>
            <w:r w:rsidR="65234173" w:rsidRPr="00ED08C3">
              <w:rPr>
                <w:rFonts w:cstheme="minorHAnsi"/>
              </w:rPr>
              <w:t>MIST2 trial</w:t>
            </w:r>
            <w:r w:rsidR="37F3D6A1" w:rsidRPr="00ED08C3">
              <w:rPr>
                <w:rFonts w:cstheme="minorHAnsi"/>
              </w:rPr>
              <w:t xml:space="preserve"> is the best existing evidence for managing complicated parapneumonic pleural effusion of empyema. This randomized controlled trial showed that </w:t>
            </w:r>
            <w:r w:rsidR="2091F6A5" w:rsidRPr="00ED08C3">
              <w:rPr>
                <w:rFonts w:cstheme="minorHAnsi"/>
              </w:rPr>
              <w:t xml:space="preserve">a regimen of </w:t>
            </w:r>
            <w:r w:rsidR="54A94A55" w:rsidRPr="00ED08C3">
              <w:rPr>
                <w:rFonts w:cstheme="minorHAnsi"/>
              </w:rPr>
              <w:t xml:space="preserve">twice daily </w:t>
            </w:r>
            <w:r w:rsidR="37F3D6A1" w:rsidRPr="00ED08C3">
              <w:rPr>
                <w:rFonts w:cstheme="minorHAnsi"/>
              </w:rPr>
              <w:t>administration</w:t>
            </w:r>
            <w:r w:rsidR="763DD9AB" w:rsidRPr="00ED08C3">
              <w:rPr>
                <w:rFonts w:cstheme="minorHAnsi"/>
              </w:rPr>
              <w:t xml:space="preserve"> of 2 medications (TPA/DORNASE) into a pleural catheter for 3</w:t>
            </w:r>
            <w:r w:rsidR="00CF2245" w:rsidRPr="00ED08C3">
              <w:rPr>
                <w:rFonts w:cstheme="minorHAnsi"/>
              </w:rPr>
              <w:t xml:space="preserve"> </w:t>
            </w:r>
            <w:r w:rsidR="763DD9AB" w:rsidRPr="00ED08C3">
              <w:rPr>
                <w:rFonts w:cstheme="minorHAnsi"/>
              </w:rPr>
              <w:t xml:space="preserve">days </w:t>
            </w:r>
            <w:r w:rsidR="2ACF5926" w:rsidRPr="00ED08C3">
              <w:rPr>
                <w:rFonts w:cstheme="minorHAnsi"/>
              </w:rPr>
              <w:t>decreased patients’ likelihood of needing surgical intervention (decortication and wash out). However, in many hospitals, we do not have the operational capability of twice daily administration of this medication because pulmonary specialists are typically the one administering it into the chest tube. In this study, we aimed to revie</w:t>
            </w:r>
            <w:r w:rsidR="25AF17FC" w:rsidRPr="00ED08C3">
              <w:rPr>
                <w:rFonts w:cstheme="minorHAnsi"/>
              </w:rPr>
              <w:t>w outcomes of patients within the KPNC health system who did and did not receive this regimen in order to inform whether we change operational practice, i.e.</w:t>
            </w:r>
            <w:r w:rsidR="0031420E" w:rsidRPr="00ED08C3">
              <w:rPr>
                <w:rFonts w:cstheme="minorHAnsi"/>
              </w:rPr>
              <w:t>,</w:t>
            </w:r>
            <w:r w:rsidR="25AF17FC" w:rsidRPr="00ED08C3">
              <w:rPr>
                <w:rFonts w:cstheme="minorHAnsi"/>
              </w:rPr>
              <w:t xml:space="preserve"> allow other providers available 24hr daily to administer the medication or administer it </w:t>
            </w:r>
            <w:r w:rsidR="08A4923F" w:rsidRPr="00ED08C3">
              <w:rPr>
                <w:rFonts w:cstheme="minorHAnsi"/>
              </w:rPr>
              <w:t>at specific time intervals (7a and 4p) that are closer together than 12 hours or staff pulmonary physicians in the later evening hours.</w:t>
            </w:r>
          </w:p>
          <w:p w14:paraId="70041630" w14:textId="6902D30B" w:rsidR="00FB7B56" w:rsidRPr="00ED08C3" w:rsidRDefault="00FB7B56" w:rsidP="0048655A">
            <w:pPr>
              <w:spacing w:line="259" w:lineRule="auto"/>
              <w:rPr>
                <w:rFonts w:cstheme="minorHAnsi"/>
              </w:rPr>
            </w:pPr>
          </w:p>
        </w:tc>
      </w:tr>
      <w:tr w:rsidR="008E6D2C" w:rsidRPr="00ED08C3" w14:paraId="136E6453" w14:textId="77777777" w:rsidTr="00DA3D86">
        <w:trPr>
          <w:trHeight w:val="262"/>
        </w:trPr>
        <w:tc>
          <w:tcPr>
            <w:tcW w:w="2196" w:type="dxa"/>
          </w:tcPr>
          <w:p w14:paraId="53202DB8" w14:textId="77777777" w:rsidR="0048655A" w:rsidRPr="00ED08C3" w:rsidRDefault="0048655A" w:rsidP="0048655A">
            <w:pPr>
              <w:spacing w:line="259" w:lineRule="auto"/>
              <w:rPr>
                <w:rFonts w:cstheme="minorHAnsi"/>
              </w:rPr>
            </w:pPr>
            <w:r w:rsidRPr="00ED08C3">
              <w:rPr>
                <w:rFonts w:cstheme="minorHAnsi"/>
              </w:rPr>
              <w:t>Target Population</w:t>
            </w:r>
          </w:p>
        </w:tc>
        <w:tc>
          <w:tcPr>
            <w:tcW w:w="8594" w:type="dxa"/>
          </w:tcPr>
          <w:p w14:paraId="5E8515B3" w14:textId="46CF6807" w:rsidR="0048655A" w:rsidRPr="00ED08C3" w:rsidRDefault="007C0FA6" w:rsidP="0048655A">
            <w:pPr>
              <w:spacing w:line="259" w:lineRule="auto"/>
              <w:rPr>
                <w:rFonts w:cstheme="minorHAnsi"/>
              </w:rPr>
            </w:pPr>
            <w:r w:rsidRPr="00ED08C3">
              <w:rPr>
                <w:rFonts w:cstheme="minorHAnsi"/>
              </w:rPr>
              <w:t>Adults hospitalized within the 21 hospitals of KPNC (age ≥18 years old) between 2015-2023</w:t>
            </w:r>
            <w:r w:rsidR="0012137F" w:rsidRPr="00ED08C3">
              <w:rPr>
                <w:rFonts w:cstheme="minorHAnsi"/>
              </w:rPr>
              <w:t xml:space="preserve">. To identify patients with complicated parapneumonic pleural effusion or empyema, we leveraged our detailed electronic health record and found patients who received: 1) tube thoracostomy (identified by procedure note with corresponding flow sheet entries), 2) at least 1 standard dose of alteplase and dornase administered together via intrapleural route, and 3) antibiotics for at least 48 hours during the hospitalization.  </w:t>
            </w:r>
          </w:p>
          <w:p w14:paraId="1486D38C" w14:textId="48C7115B" w:rsidR="00CC659B" w:rsidRPr="00ED08C3" w:rsidRDefault="00CC659B" w:rsidP="0048655A">
            <w:pPr>
              <w:spacing w:line="259" w:lineRule="auto"/>
              <w:rPr>
                <w:rFonts w:cstheme="minorHAnsi"/>
              </w:rPr>
            </w:pPr>
          </w:p>
        </w:tc>
      </w:tr>
      <w:tr w:rsidR="008E6D2C" w:rsidRPr="00ED08C3" w14:paraId="5B80BED5" w14:textId="77777777" w:rsidTr="00DA3D86">
        <w:trPr>
          <w:trHeight w:val="276"/>
        </w:trPr>
        <w:tc>
          <w:tcPr>
            <w:tcW w:w="2196" w:type="dxa"/>
          </w:tcPr>
          <w:p w14:paraId="0D0B7C0D" w14:textId="77777777" w:rsidR="0048655A" w:rsidRPr="00ED08C3" w:rsidRDefault="0048655A" w:rsidP="0048655A">
            <w:pPr>
              <w:spacing w:line="259" w:lineRule="auto"/>
              <w:rPr>
                <w:rFonts w:cstheme="minorHAnsi"/>
              </w:rPr>
            </w:pPr>
            <w:r w:rsidRPr="00ED08C3">
              <w:rPr>
                <w:rFonts w:cstheme="minorHAnsi"/>
              </w:rPr>
              <w:t>Intervention or Exposure</w:t>
            </w:r>
          </w:p>
        </w:tc>
        <w:tc>
          <w:tcPr>
            <w:tcW w:w="8594" w:type="dxa"/>
          </w:tcPr>
          <w:p w14:paraId="7CC60691" w14:textId="68B0D4F2" w:rsidR="0048655A" w:rsidRPr="00ED08C3" w:rsidRDefault="00DC20D4" w:rsidP="0048655A">
            <w:pPr>
              <w:spacing w:line="259" w:lineRule="auto"/>
              <w:rPr>
                <w:rFonts w:cstheme="minorHAnsi"/>
              </w:rPr>
            </w:pPr>
            <w:r w:rsidRPr="00ED08C3">
              <w:rPr>
                <w:rFonts w:cstheme="minorHAnsi"/>
              </w:rPr>
              <w:t>The primary exposure was dosing of IPFT that was consistent with the regimen used in the MIST-2 trial (“MIST-2-concordant dosing”).</w:t>
            </w:r>
            <w:r w:rsidRPr="00ED08C3">
              <w:rPr>
                <w:rFonts w:cstheme="minorHAnsi"/>
                <w:vertAlign w:val="superscript"/>
              </w:rPr>
              <w:t>2</w:t>
            </w:r>
            <w:r w:rsidRPr="00ED08C3">
              <w:rPr>
                <w:rFonts w:cstheme="minorHAnsi"/>
              </w:rPr>
              <w:t xml:space="preserve"> We chose to study the MIST-2 dosing regimen because it has been studied in the largest randomized clinical trial to date and is a widely accepted dosing regimen. Using real-world electronic health record medication administration data, we did serial chart reviews by physician co-authors (LCM and ES) </w:t>
            </w:r>
            <w:proofErr w:type="gramStart"/>
            <w:r w:rsidRPr="00ED08C3">
              <w:rPr>
                <w:rFonts w:cstheme="minorHAnsi"/>
              </w:rPr>
              <w:t>in order to</w:t>
            </w:r>
            <w:proofErr w:type="gramEnd"/>
            <w:r w:rsidRPr="00ED08C3">
              <w:rPr>
                <w:rFonts w:cstheme="minorHAnsi"/>
              </w:rPr>
              <w:t xml:space="preserve"> derive the best definition that fit “twice daily dosing for 3 days.” We ultimately defined MIST-2-concordant dosing as receiving exactly 6 standard doses of 10 mg of alteplase and 5 mg of dornase with 2 doses of both drugs being given in each 24-hour period for at least 2 consecutive days; we required that both medications be administered simultaneously.  </w:t>
            </w:r>
          </w:p>
          <w:p w14:paraId="0CA2C589" w14:textId="096C0FD8" w:rsidR="00270E1F" w:rsidRPr="00ED08C3" w:rsidRDefault="00270E1F" w:rsidP="0048655A">
            <w:pPr>
              <w:spacing w:line="259" w:lineRule="auto"/>
              <w:rPr>
                <w:rFonts w:cstheme="minorHAnsi"/>
              </w:rPr>
            </w:pPr>
          </w:p>
        </w:tc>
      </w:tr>
      <w:tr w:rsidR="008E6D2C" w:rsidRPr="00ED08C3" w14:paraId="13978FD3" w14:textId="77777777" w:rsidTr="00DA3D86">
        <w:trPr>
          <w:trHeight w:val="2282"/>
        </w:trPr>
        <w:tc>
          <w:tcPr>
            <w:tcW w:w="2196" w:type="dxa"/>
          </w:tcPr>
          <w:p w14:paraId="7525D5B4" w14:textId="77777777" w:rsidR="0048655A" w:rsidRPr="00ED08C3" w:rsidRDefault="0048655A" w:rsidP="0048655A">
            <w:pPr>
              <w:spacing w:line="259" w:lineRule="auto"/>
              <w:rPr>
                <w:rFonts w:cstheme="minorHAnsi"/>
                <w:b/>
                <w:bCs/>
              </w:rPr>
            </w:pPr>
            <w:r w:rsidRPr="00ED08C3">
              <w:rPr>
                <w:rFonts w:cstheme="minorHAnsi"/>
                <w:b/>
                <w:bCs/>
              </w:rPr>
              <w:t>Outcomes/Key Findings</w:t>
            </w:r>
          </w:p>
        </w:tc>
        <w:tc>
          <w:tcPr>
            <w:tcW w:w="8594" w:type="dxa"/>
          </w:tcPr>
          <w:p w14:paraId="0EB3D8C2" w14:textId="77777777" w:rsidR="00281D4A" w:rsidRPr="00ED08C3" w:rsidRDefault="0005078F" w:rsidP="0031051B">
            <w:pPr>
              <w:spacing w:line="259" w:lineRule="auto"/>
              <w:rPr>
                <w:rFonts w:cstheme="minorHAnsi"/>
                <w:b/>
                <w:bCs/>
              </w:rPr>
            </w:pPr>
            <w:r w:rsidRPr="00ED08C3">
              <w:rPr>
                <w:rFonts w:cstheme="minorHAnsi"/>
                <w:b/>
                <w:bCs/>
              </w:rPr>
              <w:t>The primary outcome was treatment escalation (defined as placement of a second concurrent chest tube from the line/drain/airway flow sheets or thoracic surgery during hospital admission from KPNC operative database) or bleeding (defined as acute blood loss anemia requiring transfusion of packed red blood cells after administration of at least 1 dose of IPFT or surgery for intrapleural hematoma evacuation). We ensured that the transfusion and surgical procedures occurred temporally after the administration of the first dose of IPFT. Other outcomes included inpatient length of stay and inpatient mortality.</w:t>
            </w:r>
          </w:p>
          <w:p w14:paraId="3CD35CB0" w14:textId="23D274EB" w:rsidR="003122F3" w:rsidRPr="00ED08C3" w:rsidRDefault="003122F3" w:rsidP="0031051B">
            <w:pPr>
              <w:spacing w:line="259" w:lineRule="auto"/>
              <w:rPr>
                <w:rFonts w:cstheme="minorHAnsi"/>
              </w:rPr>
            </w:pPr>
          </w:p>
        </w:tc>
      </w:tr>
      <w:tr w:rsidR="008E6D2C" w:rsidRPr="00ED08C3" w14:paraId="62542513" w14:textId="77777777" w:rsidTr="00DA3D86">
        <w:trPr>
          <w:trHeight w:val="816"/>
        </w:trPr>
        <w:tc>
          <w:tcPr>
            <w:tcW w:w="2196" w:type="dxa"/>
          </w:tcPr>
          <w:p w14:paraId="38755ADC" w14:textId="77777777" w:rsidR="0048655A" w:rsidRPr="00ED08C3" w:rsidRDefault="0048655A" w:rsidP="0048655A">
            <w:pPr>
              <w:spacing w:line="259" w:lineRule="auto"/>
              <w:rPr>
                <w:rFonts w:cstheme="minorHAnsi"/>
                <w:b/>
                <w:bCs/>
              </w:rPr>
            </w:pPr>
            <w:r w:rsidRPr="00ED08C3">
              <w:rPr>
                <w:rFonts w:cstheme="minorHAnsi"/>
                <w:b/>
                <w:bCs/>
              </w:rPr>
              <w:lastRenderedPageBreak/>
              <w:t>Resulting Action/Change</w:t>
            </w:r>
          </w:p>
        </w:tc>
        <w:tc>
          <w:tcPr>
            <w:tcW w:w="8594" w:type="dxa"/>
          </w:tcPr>
          <w:p w14:paraId="27CC99DB" w14:textId="21883809" w:rsidR="0048655A" w:rsidRPr="00ED08C3" w:rsidRDefault="10F439E7" w:rsidP="0048655A">
            <w:pPr>
              <w:spacing w:line="259" w:lineRule="auto"/>
              <w:rPr>
                <w:rFonts w:cstheme="minorHAnsi"/>
                <w:b/>
                <w:bCs/>
              </w:rPr>
            </w:pPr>
            <w:r w:rsidRPr="00ED08C3">
              <w:rPr>
                <w:rFonts w:cstheme="minorHAnsi"/>
                <w:b/>
                <w:bCs/>
              </w:rPr>
              <w:t xml:space="preserve">We found that </w:t>
            </w:r>
            <w:r w:rsidR="58760644" w:rsidRPr="00ED08C3">
              <w:rPr>
                <w:rFonts w:cstheme="minorHAnsi"/>
                <w:b/>
                <w:bCs/>
              </w:rPr>
              <w:t>patients who received MIST-2 concordant dosing were less likely to need treatment escalation (additional chest tubes or thoracic surgery) and were not more likely to bleed. This is an important finding because as a health system, we should be grapp</w:t>
            </w:r>
            <w:r w:rsidR="05F1B2ED" w:rsidRPr="00ED08C3">
              <w:rPr>
                <w:rFonts w:cstheme="minorHAnsi"/>
                <w:b/>
                <w:bCs/>
              </w:rPr>
              <w:t>ling with how we operationalize these findings, i.e.</w:t>
            </w:r>
            <w:r w:rsidR="00B2702B" w:rsidRPr="00ED08C3">
              <w:rPr>
                <w:rFonts w:cstheme="minorHAnsi"/>
                <w:b/>
                <w:bCs/>
              </w:rPr>
              <w:t>,</w:t>
            </w:r>
            <w:r w:rsidR="05F1B2ED" w:rsidRPr="00ED08C3">
              <w:rPr>
                <w:rFonts w:cstheme="minorHAnsi"/>
                <w:b/>
                <w:bCs/>
              </w:rPr>
              <w:t xml:space="preserve"> </w:t>
            </w:r>
            <w:proofErr w:type="gramStart"/>
            <w:r w:rsidR="05F1B2ED" w:rsidRPr="00ED08C3">
              <w:rPr>
                <w:rFonts w:cstheme="minorHAnsi"/>
                <w:b/>
                <w:bCs/>
              </w:rPr>
              <w:t>in order to</w:t>
            </w:r>
            <w:proofErr w:type="gramEnd"/>
            <w:r w:rsidR="05F1B2ED" w:rsidRPr="00ED08C3">
              <w:rPr>
                <w:rFonts w:cstheme="minorHAnsi"/>
                <w:b/>
                <w:bCs/>
              </w:rPr>
              <w:t xml:space="preserve"> limit length of stay and optimize outcomes, how do we deliver MIST-2 concordant dosing when pulmonary providers are not </w:t>
            </w:r>
            <w:r w:rsidR="50336BE8" w:rsidRPr="00ED08C3">
              <w:rPr>
                <w:rFonts w:cstheme="minorHAnsi"/>
                <w:b/>
                <w:bCs/>
              </w:rPr>
              <w:t xml:space="preserve">routinely </w:t>
            </w:r>
            <w:r w:rsidR="05F1B2ED" w:rsidRPr="00ED08C3">
              <w:rPr>
                <w:rFonts w:cstheme="minorHAnsi"/>
                <w:b/>
                <w:bCs/>
              </w:rPr>
              <w:t>present in the hospital during evening hours</w:t>
            </w:r>
            <w:r w:rsidR="299FE219" w:rsidRPr="00ED08C3">
              <w:rPr>
                <w:rFonts w:cstheme="minorHAnsi"/>
                <w:b/>
                <w:bCs/>
              </w:rPr>
              <w:t>?</w:t>
            </w:r>
            <w:r w:rsidR="18301B3C" w:rsidRPr="00ED08C3">
              <w:rPr>
                <w:rFonts w:cstheme="minorHAnsi"/>
                <w:b/>
                <w:bCs/>
              </w:rPr>
              <w:t xml:space="preserve"> As a result of this study, we are actively engaging with pulmonary leadership to address this operational question.</w:t>
            </w:r>
          </w:p>
          <w:p w14:paraId="092B6F29" w14:textId="4FAEF611" w:rsidR="003122F3" w:rsidRPr="00ED08C3" w:rsidRDefault="003122F3" w:rsidP="0048655A">
            <w:pPr>
              <w:spacing w:line="259" w:lineRule="auto"/>
              <w:rPr>
                <w:rFonts w:cstheme="minorHAnsi"/>
                <w:b/>
                <w:bCs/>
              </w:rPr>
            </w:pPr>
          </w:p>
        </w:tc>
      </w:tr>
      <w:tr w:rsidR="008E6D2C" w:rsidRPr="00ED08C3" w14:paraId="57800790" w14:textId="77777777" w:rsidTr="00DA3D86">
        <w:trPr>
          <w:trHeight w:val="816"/>
        </w:trPr>
        <w:tc>
          <w:tcPr>
            <w:tcW w:w="2196" w:type="dxa"/>
          </w:tcPr>
          <w:p w14:paraId="6C4E04AC" w14:textId="161310DB" w:rsidR="00CB0455" w:rsidRPr="00ED08C3" w:rsidRDefault="00CB0455" w:rsidP="0048655A">
            <w:pPr>
              <w:rPr>
                <w:rFonts w:cstheme="minorHAnsi"/>
              </w:rPr>
            </w:pPr>
            <w:r w:rsidRPr="00ED08C3">
              <w:rPr>
                <w:rFonts w:cstheme="minorHAnsi"/>
              </w:rPr>
              <w:t>Additional Recommendations</w:t>
            </w:r>
          </w:p>
        </w:tc>
        <w:tc>
          <w:tcPr>
            <w:tcW w:w="8594" w:type="dxa"/>
          </w:tcPr>
          <w:p w14:paraId="32BA5CBE" w14:textId="77777777" w:rsidR="00CB0455" w:rsidRPr="00ED08C3" w:rsidRDefault="58CD857D" w:rsidP="0048655A">
            <w:pPr>
              <w:rPr>
                <w:rFonts w:cstheme="minorHAnsi"/>
              </w:rPr>
            </w:pPr>
            <w:r w:rsidRPr="00ED08C3">
              <w:rPr>
                <w:rFonts w:cstheme="minorHAnsi"/>
              </w:rPr>
              <w:t>The solution here is not obvious or easy but we believe there are solutions that are resource neutral. For example, if we efficiently delivered the first dose at 7:30a then we could reasonably administer the second dose at 4:30p but this would need to be coordinated with pharmacy to provide the medication, which expires</w:t>
            </w:r>
            <w:r w:rsidR="3797F215" w:rsidRPr="00ED08C3">
              <w:rPr>
                <w:rFonts w:cstheme="minorHAnsi"/>
              </w:rPr>
              <w:t xml:space="preserve"> within a certain </w:t>
            </w:r>
            <w:proofErr w:type="gramStart"/>
            <w:r w:rsidR="3797F215" w:rsidRPr="00ED08C3">
              <w:rPr>
                <w:rFonts w:cstheme="minorHAnsi"/>
              </w:rPr>
              <w:t>time period</w:t>
            </w:r>
            <w:proofErr w:type="gramEnd"/>
            <w:r w:rsidR="3797F215" w:rsidRPr="00ED08C3">
              <w:rPr>
                <w:rFonts w:cstheme="minorHAnsi"/>
              </w:rPr>
              <w:t xml:space="preserve"> of being drawn up. We believe standardizing the administration could improve patient outcomes.</w:t>
            </w:r>
          </w:p>
          <w:p w14:paraId="08163871" w14:textId="37A75D6B" w:rsidR="003122F3" w:rsidRPr="00ED08C3" w:rsidRDefault="003122F3" w:rsidP="0048655A">
            <w:pPr>
              <w:rPr>
                <w:rFonts w:cstheme="minorHAnsi"/>
              </w:rPr>
            </w:pPr>
          </w:p>
        </w:tc>
      </w:tr>
      <w:tr w:rsidR="008E6D2C" w:rsidRPr="00ED08C3" w14:paraId="21F6FB6D" w14:textId="77777777" w:rsidTr="00DA3D86">
        <w:trPr>
          <w:trHeight w:val="552"/>
        </w:trPr>
        <w:tc>
          <w:tcPr>
            <w:tcW w:w="2196" w:type="dxa"/>
          </w:tcPr>
          <w:p w14:paraId="511F380C" w14:textId="77777777" w:rsidR="0048655A" w:rsidRPr="00ED08C3" w:rsidRDefault="0048655A" w:rsidP="0048655A">
            <w:pPr>
              <w:spacing w:line="259" w:lineRule="auto"/>
              <w:rPr>
                <w:rFonts w:cstheme="minorHAnsi"/>
              </w:rPr>
            </w:pPr>
            <w:r w:rsidRPr="00ED08C3">
              <w:rPr>
                <w:rFonts w:cstheme="minorHAnsi"/>
              </w:rPr>
              <w:t>Implementation Tools</w:t>
            </w:r>
            <w:r w:rsidRPr="00ED08C3">
              <w:rPr>
                <w:rFonts w:cstheme="minorHAnsi"/>
              </w:rPr>
              <w:tab/>
            </w:r>
          </w:p>
        </w:tc>
        <w:tc>
          <w:tcPr>
            <w:tcW w:w="8594" w:type="dxa"/>
          </w:tcPr>
          <w:p w14:paraId="253FA823" w14:textId="69CF2E75" w:rsidR="0048655A" w:rsidRPr="00ED08C3" w:rsidRDefault="04718FF1" w:rsidP="0048655A">
            <w:pPr>
              <w:spacing w:line="259" w:lineRule="auto"/>
              <w:rPr>
                <w:rFonts w:cstheme="minorHAnsi"/>
              </w:rPr>
            </w:pPr>
            <w:r w:rsidRPr="00ED08C3">
              <w:rPr>
                <w:rFonts w:cstheme="minorHAnsi"/>
              </w:rPr>
              <w:t>We have not implemented change yet</w:t>
            </w:r>
            <w:r w:rsidR="0061427D" w:rsidRPr="00ED08C3">
              <w:rPr>
                <w:rFonts w:cstheme="minorHAnsi"/>
              </w:rPr>
              <w:t>,</w:t>
            </w:r>
            <w:r w:rsidRPr="00ED08C3">
              <w:rPr>
                <w:rFonts w:cstheme="minorHAnsi"/>
              </w:rPr>
              <w:t xml:space="preserve"> but these results have sparked discussion in the operational world in the pulmonary specialty to try to come up with the best solution (balancing outcomes and</w:t>
            </w:r>
            <w:r w:rsidR="20BDEB26" w:rsidRPr="00ED08C3">
              <w:rPr>
                <w:rFonts w:cstheme="minorHAnsi"/>
              </w:rPr>
              <w:t xml:space="preserve"> cost</w:t>
            </w:r>
            <w:r w:rsidRPr="00ED08C3">
              <w:rPr>
                <w:rFonts w:cstheme="minorHAnsi"/>
              </w:rPr>
              <w:t>).</w:t>
            </w:r>
          </w:p>
          <w:p w14:paraId="35B5FEA6" w14:textId="4BD7672E" w:rsidR="003122F3" w:rsidRPr="00ED08C3" w:rsidRDefault="003122F3" w:rsidP="0048655A">
            <w:pPr>
              <w:spacing w:line="259" w:lineRule="auto"/>
              <w:rPr>
                <w:rFonts w:cstheme="minorHAnsi"/>
              </w:rPr>
            </w:pPr>
          </w:p>
        </w:tc>
      </w:tr>
      <w:tr w:rsidR="008E6D2C" w:rsidRPr="00ED08C3" w14:paraId="02D4678D" w14:textId="77777777" w:rsidTr="00DA3D86">
        <w:trPr>
          <w:trHeight w:val="552"/>
        </w:trPr>
        <w:tc>
          <w:tcPr>
            <w:tcW w:w="2196" w:type="dxa"/>
          </w:tcPr>
          <w:p w14:paraId="6740EC60" w14:textId="77777777" w:rsidR="0048655A" w:rsidRPr="00ED08C3" w:rsidRDefault="0048655A" w:rsidP="0048655A">
            <w:pPr>
              <w:spacing w:line="259" w:lineRule="auto"/>
              <w:rPr>
                <w:rFonts w:cstheme="minorHAnsi"/>
              </w:rPr>
            </w:pPr>
            <w:r w:rsidRPr="00ED08C3">
              <w:rPr>
                <w:rFonts w:cstheme="minorHAnsi"/>
              </w:rPr>
              <w:t>Implementation Measurement</w:t>
            </w:r>
          </w:p>
          <w:p w14:paraId="1B184543" w14:textId="77777777" w:rsidR="008113D2" w:rsidRPr="00ED08C3" w:rsidRDefault="008113D2" w:rsidP="0048655A">
            <w:pPr>
              <w:spacing w:line="259" w:lineRule="auto"/>
              <w:rPr>
                <w:rFonts w:cstheme="minorHAnsi"/>
              </w:rPr>
            </w:pPr>
          </w:p>
        </w:tc>
        <w:tc>
          <w:tcPr>
            <w:tcW w:w="8594" w:type="dxa"/>
          </w:tcPr>
          <w:p w14:paraId="0D25EBD1" w14:textId="46146E84" w:rsidR="0048655A" w:rsidRPr="00ED08C3" w:rsidRDefault="4402240A" w:rsidP="0048655A">
            <w:pPr>
              <w:spacing w:line="259" w:lineRule="auto"/>
              <w:rPr>
                <w:rFonts w:cstheme="minorHAnsi"/>
              </w:rPr>
            </w:pPr>
            <w:r w:rsidRPr="00ED08C3">
              <w:rPr>
                <w:rFonts w:cstheme="minorHAnsi"/>
              </w:rPr>
              <w:t>As above, we have not implemented a change yet.</w:t>
            </w:r>
          </w:p>
        </w:tc>
      </w:tr>
      <w:tr w:rsidR="008E6D2C" w:rsidRPr="00ED08C3" w14:paraId="66558595" w14:textId="77777777" w:rsidTr="00DA3D86">
        <w:trPr>
          <w:trHeight w:val="538"/>
        </w:trPr>
        <w:tc>
          <w:tcPr>
            <w:tcW w:w="2196" w:type="dxa"/>
          </w:tcPr>
          <w:p w14:paraId="29954FA9" w14:textId="77777777" w:rsidR="0048655A" w:rsidRPr="00ED08C3" w:rsidRDefault="0048655A" w:rsidP="0048655A">
            <w:pPr>
              <w:spacing w:line="259" w:lineRule="auto"/>
              <w:rPr>
                <w:rFonts w:cstheme="minorHAnsi"/>
              </w:rPr>
            </w:pPr>
            <w:r w:rsidRPr="00ED08C3">
              <w:rPr>
                <w:rFonts w:cstheme="minorHAnsi"/>
              </w:rPr>
              <w:t>Reference</w:t>
            </w:r>
          </w:p>
        </w:tc>
        <w:tc>
          <w:tcPr>
            <w:tcW w:w="8594" w:type="dxa"/>
          </w:tcPr>
          <w:p w14:paraId="6BBC4960" w14:textId="4E644B3E" w:rsidR="00C7490F" w:rsidRPr="00ED08C3" w:rsidRDefault="00C7490F" w:rsidP="00C7490F">
            <w:pPr>
              <w:rPr>
                <w:rFonts w:cstheme="minorHAnsi"/>
              </w:rPr>
            </w:pPr>
            <w:r w:rsidRPr="00ED08C3">
              <w:rPr>
                <w:rFonts w:cstheme="minorHAnsi"/>
              </w:rPr>
              <w:t>Figure 1. Variation in administration of MIST-2-concordant intrapleural fibrinolytic therapy</w:t>
            </w:r>
          </w:p>
          <w:p w14:paraId="00D48921" w14:textId="77777777" w:rsidR="008C3453" w:rsidRPr="00ED08C3" w:rsidRDefault="008C3453" w:rsidP="00857B24">
            <w:pPr>
              <w:rPr>
                <w:rFonts w:cstheme="minorHAnsi"/>
              </w:rPr>
            </w:pPr>
          </w:p>
          <w:p w14:paraId="454BD985" w14:textId="59341347" w:rsidR="0002668F" w:rsidRPr="00ED08C3" w:rsidRDefault="0002668F" w:rsidP="00857B24">
            <w:pPr>
              <w:rPr>
                <w:rFonts w:cstheme="minorHAnsi"/>
              </w:rPr>
            </w:pPr>
            <w:r w:rsidRPr="00ED08C3">
              <w:rPr>
                <w:rFonts w:cstheme="minorHAnsi"/>
              </w:rPr>
              <w:t>Legend</w:t>
            </w:r>
            <w:r w:rsidR="00BC6AA5" w:rsidRPr="00ED08C3">
              <w:rPr>
                <w:rFonts w:cstheme="minorHAnsi"/>
              </w:rPr>
              <w:t xml:space="preserve">: </w:t>
            </w:r>
            <w:r w:rsidRPr="00ED08C3">
              <w:rPr>
                <w:rFonts w:cstheme="minorHAnsi"/>
              </w:rPr>
              <w:t>This figure visualizes the facility-level variation in the administration of MIST-2-concordant dosing of intrapleural fibrinolytic therapy. It shows the random facility effects from the mixed model that predicts MIST2 dosing as a function of the covariates described above and expressed as odds ratios.</w:t>
            </w:r>
          </w:p>
          <w:p w14:paraId="231E691C" w14:textId="77777777" w:rsidR="00857B24" w:rsidRPr="00ED08C3" w:rsidRDefault="00857B24" w:rsidP="00857B24">
            <w:pPr>
              <w:rPr>
                <w:rFonts w:cstheme="minorHAnsi"/>
              </w:rPr>
            </w:pPr>
          </w:p>
          <w:p w14:paraId="0B4906B5" w14:textId="77777777" w:rsidR="003A4F9A" w:rsidRPr="00ED08C3" w:rsidRDefault="003A4F9A" w:rsidP="0048655A">
            <w:pPr>
              <w:spacing w:line="259" w:lineRule="auto"/>
              <w:rPr>
                <w:rFonts w:cstheme="minorHAnsi"/>
              </w:rPr>
            </w:pPr>
          </w:p>
          <w:p w14:paraId="72616A89" w14:textId="77777777" w:rsidR="00E33B4F" w:rsidRPr="00ED08C3" w:rsidRDefault="00DA3D86" w:rsidP="0048655A">
            <w:pPr>
              <w:spacing w:line="259" w:lineRule="auto"/>
              <w:rPr>
                <w:rFonts w:cstheme="minorHAnsi"/>
              </w:rPr>
            </w:pPr>
            <w:r w:rsidRPr="00ED08C3">
              <w:rPr>
                <w:rFonts w:cstheme="minorHAnsi"/>
                <w:noProof/>
              </w:rPr>
              <w:drawing>
                <wp:inline distT="0" distB="0" distL="0" distR="0" wp14:anchorId="2DDECEE0" wp14:editId="3BF000F6">
                  <wp:extent cx="5013320" cy="3290131"/>
                  <wp:effectExtent l="0" t="0" r="0" b="5715"/>
                  <wp:docPr id="1919410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731" t="8525" b="3442"/>
                          <a:stretch/>
                        </pic:blipFill>
                        <pic:spPr bwMode="auto">
                          <a:xfrm>
                            <a:off x="0" y="0"/>
                            <a:ext cx="5042087" cy="3309010"/>
                          </a:xfrm>
                          <a:prstGeom prst="rect">
                            <a:avLst/>
                          </a:prstGeom>
                          <a:noFill/>
                          <a:ln>
                            <a:noFill/>
                          </a:ln>
                          <a:extLst>
                            <a:ext uri="{53640926-AAD7-44D8-BBD7-CCE9431645EC}">
                              <a14:shadowObscured xmlns:a14="http://schemas.microsoft.com/office/drawing/2010/main"/>
                            </a:ext>
                          </a:extLst>
                        </pic:spPr>
                      </pic:pic>
                    </a:graphicData>
                  </a:graphic>
                </wp:inline>
              </w:drawing>
            </w:r>
          </w:p>
          <w:p w14:paraId="322C0DA4" w14:textId="77777777" w:rsidR="00945AA2" w:rsidRPr="00ED08C3" w:rsidRDefault="00945AA2" w:rsidP="0048655A">
            <w:pPr>
              <w:spacing w:line="259" w:lineRule="auto"/>
              <w:rPr>
                <w:rFonts w:cstheme="minorHAnsi"/>
              </w:rPr>
            </w:pPr>
          </w:p>
          <w:p w14:paraId="6E2B1F17" w14:textId="77777777" w:rsidR="0004749A" w:rsidRPr="00ED08C3" w:rsidRDefault="0004749A" w:rsidP="0048655A">
            <w:pPr>
              <w:spacing w:line="259" w:lineRule="auto"/>
              <w:rPr>
                <w:rFonts w:cstheme="minorHAnsi"/>
              </w:rPr>
            </w:pPr>
          </w:p>
          <w:p w14:paraId="25A6DCF5" w14:textId="77777777" w:rsidR="00B61D85" w:rsidRPr="00ED08C3" w:rsidRDefault="00B61D85" w:rsidP="00B61D85">
            <w:pPr>
              <w:rPr>
                <w:rFonts w:cstheme="minorHAnsi"/>
              </w:rPr>
            </w:pPr>
            <w:r w:rsidRPr="00ED08C3">
              <w:rPr>
                <w:rFonts w:cstheme="minorHAnsi"/>
              </w:rPr>
              <w:t>Table 1. Baseline characteristics of patients</w:t>
            </w:r>
          </w:p>
          <w:p w14:paraId="117813D9" w14:textId="77777777" w:rsidR="00BB1411" w:rsidRPr="00ED08C3" w:rsidRDefault="00BB1411" w:rsidP="00B61D85">
            <w:pPr>
              <w:rPr>
                <w:rFonts w:cstheme="minorHAnsi"/>
              </w:rPr>
            </w:pPr>
          </w:p>
          <w:tbl>
            <w:tblPr>
              <w:tblStyle w:val="TableGrid"/>
              <w:tblW w:w="8329" w:type="dxa"/>
              <w:tblLayout w:type="fixed"/>
              <w:tblLook w:val="06A0" w:firstRow="1" w:lastRow="0" w:firstColumn="1" w:lastColumn="0" w:noHBand="1" w:noVBand="1"/>
            </w:tblPr>
            <w:tblGrid>
              <w:gridCol w:w="3145"/>
              <w:gridCol w:w="1296"/>
              <w:gridCol w:w="1296"/>
              <w:gridCol w:w="1296"/>
              <w:gridCol w:w="1296"/>
            </w:tblGrid>
            <w:tr w:rsidR="00BB1411" w:rsidRPr="00ED08C3" w14:paraId="73A6E9D8" w14:textId="77777777" w:rsidTr="00BB1411">
              <w:trPr>
                <w:trHeight w:val="274"/>
              </w:trPr>
              <w:tc>
                <w:tcPr>
                  <w:tcW w:w="3145" w:type="dxa"/>
                  <w:vAlign w:val="center"/>
                </w:tcPr>
                <w:p w14:paraId="0D77641F" w14:textId="77777777" w:rsidR="00B61D85" w:rsidRPr="00ED08C3" w:rsidRDefault="00B61D85" w:rsidP="004B6BA5">
                  <w:pPr>
                    <w:framePr w:hSpace="180" w:wrap="around" w:vAnchor="page" w:hAnchor="margin" w:y="2581"/>
                    <w:rPr>
                      <w:rFonts w:eastAsia="Arial" w:cstheme="minorHAnsi"/>
                      <w:b/>
                      <w:bCs/>
                    </w:rPr>
                  </w:pPr>
                  <w:r w:rsidRPr="00ED08C3">
                    <w:rPr>
                      <w:rFonts w:eastAsia="Arial" w:cstheme="minorHAnsi"/>
                      <w:b/>
                      <w:bCs/>
                    </w:rPr>
                    <w:t>Characteristic</w:t>
                  </w:r>
                </w:p>
              </w:tc>
              <w:tc>
                <w:tcPr>
                  <w:tcW w:w="1296" w:type="dxa"/>
                  <w:vAlign w:val="center"/>
                </w:tcPr>
                <w:p w14:paraId="3848A6D2" w14:textId="77777777" w:rsidR="00B61D85" w:rsidRPr="00ED08C3" w:rsidRDefault="00B61D85" w:rsidP="004B6BA5">
                  <w:pPr>
                    <w:framePr w:hSpace="180" w:wrap="around" w:vAnchor="page" w:hAnchor="margin" w:y="2581"/>
                    <w:jc w:val="center"/>
                    <w:rPr>
                      <w:rFonts w:eastAsia="Arial" w:cstheme="minorHAnsi"/>
                      <w:b/>
                      <w:bCs/>
                    </w:rPr>
                  </w:pPr>
                  <w:r w:rsidRPr="00ED08C3">
                    <w:rPr>
                      <w:rFonts w:eastAsia="Arial" w:cstheme="minorHAnsi"/>
                      <w:b/>
                      <w:bCs/>
                    </w:rPr>
                    <w:t>All Patients</w:t>
                  </w:r>
                </w:p>
              </w:tc>
              <w:tc>
                <w:tcPr>
                  <w:tcW w:w="1296" w:type="dxa"/>
                  <w:vAlign w:val="center"/>
                </w:tcPr>
                <w:p w14:paraId="56348A8C" w14:textId="77777777" w:rsidR="00B61D85" w:rsidRPr="00ED08C3" w:rsidRDefault="00B61D85" w:rsidP="004B6BA5">
                  <w:pPr>
                    <w:framePr w:hSpace="180" w:wrap="around" w:vAnchor="page" w:hAnchor="margin" w:y="2581"/>
                    <w:jc w:val="center"/>
                    <w:rPr>
                      <w:rFonts w:eastAsia="Arial" w:cstheme="minorHAnsi"/>
                      <w:b/>
                      <w:bCs/>
                    </w:rPr>
                  </w:pPr>
                  <w:r w:rsidRPr="00ED08C3">
                    <w:rPr>
                      <w:rFonts w:eastAsia="Arial" w:cstheme="minorHAnsi"/>
                      <w:b/>
                      <w:bCs/>
                    </w:rPr>
                    <w:t>Received MIST-2</w:t>
                  </w:r>
                </w:p>
              </w:tc>
              <w:tc>
                <w:tcPr>
                  <w:tcW w:w="1296" w:type="dxa"/>
                  <w:vAlign w:val="center"/>
                </w:tcPr>
                <w:p w14:paraId="58085083" w14:textId="77777777" w:rsidR="00263433" w:rsidRPr="00ED08C3" w:rsidRDefault="00B61D85" w:rsidP="004B6BA5">
                  <w:pPr>
                    <w:framePr w:hSpace="180" w:wrap="around" w:vAnchor="page" w:hAnchor="margin" w:y="2581"/>
                    <w:jc w:val="center"/>
                    <w:rPr>
                      <w:rFonts w:eastAsia="Arial" w:cstheme="minorHAnsi"/>
                      <w:b/>
                      <w:bCs/>
                    </w:rPr>
                  </w:pPr>
                  <w:r w:rsidRPr="00ED08C3">
                    <w:rPr>
                      <w:rFonts w:eastAsia="Arial" w:cstheme="minorHAnsi"/>
                      <w:b/>
                      <w:bCs/>
                    </w:rPr>
                    <w:t xml:space="preserve">Not </w:t>
                  </w:r>
                </w:p>
                <w:p w14:paraId="38B408E8" w14:textId="5061EE85" w:rsidR="00B61D85" w:rsidRPr="00ED08C3" w:rsidRDefault="00B61D85" w:rsidP="004B6BA5">
                  <w:pPr>
                    <w:framePr w:hSpace="180" w:wrap="around" w:vAnchor="page" w:hAnchor="margin" w:y="2581"/>
                    <w:jc w:val="center"/>
                    <w:rPr>
                      <w:rFonts w:eastAsia="Arial" w:cstheme="minorHAnsi"/>
                      <w:b/>
                      <w:bCs/>
                    </w:rPr>
                  </w:pPr>
                  <w:r w:rsidRPr="00ED08C3">
                    <w:rPr>
                      <w:rFonts w:eastAsia="Arial" w:cstheme="minorHAnsi"/>
                      <w:b/>
                      <w:bCs/>
                    </w:rPr>
                    <w:t>MIST-2</w:t>
                  </w:r>
                </w:p>
              </w:tc>
              <w:tc>
                <w:tcPr>
                  <w:tcW w:w="1296" w:type="dxa"/>
                </w:tcPr>
                <w:p w14:paraId="6DC68345" w14:textId="77777777" w:rsidR="00B61D85" w:rsidRPr="00ED08C3" w:rsidRDefault="00B61D85" w:rsidP="004B6BA5">
                  <w:pPr>
                    <w:framePr w:hSpace="180" w:wrap="around" w:vAnchor="page" w:hAnchor="margin" w:y="2581"/>
                    <w:jc w:val="center"/>
                    <w:rPr>
                      <w:rFonts w:eastAsia="Arial" w:cstheme="minorHAnsi"/>
                      <w:b/>
                      <w:bCs/>
                    </w:rPr>
                  </w:pPr>
                  <w:r w:rsidRPr="00ED08C3">
                    <w:rPr>
                      <w:rFonts w:eastAsia="Arial" w:cstheme="minorHAnsi"/>
                      <w:b/>
                      <w:bCs/>
                      <w:i/>
                      <w:iCs/>
                    </w:rPr>
                    <w:t>P</w:t>
                  </w:r>
                  <w:r w:rsidRPr="00ED08C3">
                    <w:rPr>
                      <w:rFonts w:eastAsia="Arial" w:cstheme="minorHAnsi"/>
                      <w:b/>
                      <w:bCs/>
                    </w:rPr>
                    <w:t xml:space="preserve"> Value</w:t>
                  </w:r>
                </w:p>
              </w:tc>
            </w:tr>
            <w:tr w:rsidR="00BB1411" w:rsidRPr="00ED08C3" w14:paraId="0769EB3E" w14:textId="77777777" w:rsidTr="00BB1411">
              <w:trPr>
                <w:trHeight w:val="274"/>
              </w:trPr>
              <w:tc>
                <w:tcPr>
                  <w:tcW w:w="3145" w:type="dxa"/>
                  <w:vAlign w:val="center"/>
                </w:tcPr>
                <w:p w14:paraId="6566065E"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N</w:t>
                  </w:r>
                </w:p>
              </w:tc>
              <w:tc>
                <w:tcPr>
                  <w:tcW w:w="1296" w:type="dxa"/>
                  <w:vAlign w:val="center"/>
                </w:tcPr>
                <w:p w14:paraId="160F2A94"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N = 1</w:t>
                  </w:r>
                  <w:r w:rsidRPr="00ED08C3" w:rsidDel="37FDD4E3">
                    <w:rPr>
                      <w:rFonts w:cstheme="minorHAnsi"/>
                      <w:color w:val="000000" w:themeColor="text1"/>
                    </w:rPr>
                    <w:t>,</w:t>
                  </w:r>
                  <w:r w:rsidRPr="00ED08C3">
                    <w:rPr>
                      <w:rFonts w:cstheme="minorHAnsi"/>
                      <w:color w:val="000000" w:themeColor="text1"/>
                    </w:rPr>
                    <w:t>751</w:t>
                  </w:r>
                </w:p>
              </w:tc>
              <w:tc>
                <w:tcPr>
                  <w:tcW w:w="1296" w:type="dxa"/>
                  <w:vAlign w:val="center"/>
                </w:tcPr>
                <w:p w14:paraId="5EE12EDB"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N = 99</w:t>
                  </w:r>
                </w:p>
              </w:tc>
              <w:tc>
                <w:tcPr>
                  <w:tcW w:w="1296" w:type="dxa"/>
                  <w:vAlign w:val="center"/>
                </w:tcPr>
                <w:p w14:paraId="7FCF5F25" w14:textId="77777777" w:rsidR="00B61D85" w:rsidRPr="00ED08C3" w:rsidRDefault="00B61D85" w:rsidP="004B6BA5">
                  <w:pPr>
                    <w:framePr w:hSpace="180" w:wrap="around" w:vAnchor="page" w:hAnchor="margin" w:y="2581"/>
                    <w:jc w:val="center"/>
                    <w:rPr>
                      <w:rFonts w:cstheme="minorHAnsi"/>
                      <w:color w:val="000000"/>
                    </w:rPr>
                  </w:pPr>
                  <w:r w:rsidRPr="00ED08C3">
                    <w:rPr>
                      <w:rFonts w:cstheme="minorHAnsi"/>
                      <w:color w:val="000000" w:themeColor="text1"/>
                    </w:rPr>
                    <w:t>N = 1</w:t>
                  </w:r>
                  <w:r w:rsidRPr="00ED08C3" w:rsidDel="37FDD4E3">
                    <w:rPr>
                      <w:rFonts w:cstheme="minorHAnsi"/>
                      <w:color w:val="000000" w:themeColor="text1"/>
                    </w:rPr>
                    <w:t>,</w:t>
                  </w:r>
                  <w:r w:rsidRPr="00ED08C3">
                    <w:rPr>
                      <w:rFonts w:cstheme="minorHAnsi"/>
                      <w:color w:val="000000" w:themeColor="text1"/>
                    </w:rPr>
                    <w:t>652</w:t>
                  </w:r>
                </w:p>
              </w:tc>
              <w:tc>
                <w:tcPr>
                  <w:tcW w:w="1296" w:type="dxa"/>
                  <w:vAlign w:val="center"/>
                </w:tcPr>
                <w:p w14:paraId="51821B9B" w14:textId="77777777" w:rsidR="00B61D85" w:rsidRPr="00ED08C3" w:rsidRDefault="00B61D85" w:rsidP="004B6BA5">
                  <w:pPr>
                    <w:framePr w:hSpace="180" w:wrap="around" w:vAnchor="page" w:hAnchor="margin" w:y="2581"/>
                    <w:jc w:val="center"/>
                    <w:rPr>
                      <w:rFonts w:cstheme="minorHAnsi"/>
                      <w:color w:val="000000" w:themeColor="text1"/>
                    </w:rPr>
                  </w:pPr>
                </w:p>
              </w:tc>
            </w:tr>
            <w:tr w:rsidR="00BB1411" w:rsidRPr="00ED08C3" w14:paraId="253827A4" w14:textId="77777777" w:rsidTr="00BB1411">
              <w:trPr>
                <w:trHeight w:val="274"/>
              </w:trPr>
              <w:tc>
                <w:tcPr>
                  <w:tcW w:w="3145" w:type="dxa"/>
                  <w:vAlign w:val="center"/>
                </w:tcPr>
                <w:p w14:paraId="05726C83"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Age</w:t>
                  </w:r>
                </w:p>
              </w:tc>
              <w:tc>
                <w:tcPr>
                  <w:tcW w:w="1296" w:type="dxa"/>
                  <w:vAlign w:val="center"/>
                </w:tcPr>
                <w:p w14:paraId="11B99FE8"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67.0 (55.0</w:t>
                  </w:r>
                  <w:r w:rsidRPr="00ED08C3" w:rsidDel="37FDD4E3">
                    <w:rPr>
                      <w:rFonts w:cstheme="minorHAnsi"/>
                      <w:color w:val="000000" w:themeColor="text1"/>
                    </w:rPr>
                    <w:t>,</w:t>
                  </w:r>
                  <w:r w:rsidRPr="00ED08C3">
                    <w:rPr>
                      <w:rFonts w:cstheme="minorHAnsi"/>
                      <w:color w:val="000000" w:themeColor="text1"/>
                    </w:rPr>
                    <w:t xml:space="preserve"> 76.5)</w:t>
                  </w:r>
                </w:p>
              </w:tc>
              <w:tc>
                <w:tcPr>
                  <w:tcW w:w="1296" w:type="dxa"/>
                  <w:vAlign w:val="center"/>
                </w:tcPr>
                <w:p w14:paraId="1938313E"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67.0 (50.5</w:t>
                  </w:r>
                  <w:r w:rsidRPr="00ED08C3" w:rsidDel="37FDD4E3">
                    <w:rPr>
                      <w:rFonts w:cstheme="minorHAnsi"/>
                      <w:color w:val="000000" w:themeColor="text1"/>
                    </w:rPr>
                    <w:t>,</w:t>
                  </w:r>
                  <w:r w:rsidRPr="00ED08C3">
                    <w:rPr>
                      <w:rFonts w:cstheme="minorHAnsi"/>
                      <w:color w:val="000000" w:themeColor="text1"/>
                    </w:rPr>
                    <w:t xml:space="preserve"> 75.5)</w:t>
                  </w:r>
                </w:p>
              </w:tc>
              <w:tc>
                <w:tcPr>
                  <w:tcW w:w="1296" w:type="dxa"/>
                  <w:vAlign w:val="center"/>
                </w:tcPr>
                <w:p w14:paraId="1BC5E693" w14:textId="77777777" w:rsidR="00B61D85" w:rsidRPr="00ED08C3" w:rsidRDefault="00B61D85" w:rsidP="004B6BA5">
                  <w:pPr>
                    <w:framePr w:hSpace="180" w:wrap="around" w:vAnchor="page" w:hAnchor="margin" w:y="2581"/>
                    <w:jc w:val="center"/>
                    <w:rPr>
                      <w:rFonts w:cstheme="minorHAnsi"/>
                      <w:color w:val="000000"/>
                    </w:rPr>
                  </w:pPr>
                  <w:r w:rsidRPr="00ED08C3">
                    <w:rPr>
                      <w:rFonts w:cstheme="minorHAnsi"/>
                      <w:color w:val="000000" w:themeColor="text1"/>
                    </w:rPr>
                    <w:t>67.0 (55.0</w:t>
                  </w:r>
                  <w:r w:rsidRPr="00ED08C3" w:rsidDel="37FDD4E3">
                    <w:rPr>
                      <w:rFonts w:cstheme="minorHAnsi"/>
                      <w:color w:val="000000" w:themeColor="text1"/>
                    </w:rPr>
                    <w:t>,</w:t>
                  </w:r>
                  <w:r w:rsidRPr="00ED08C3">
                    <w:rPr>
                      <w:rFonts w:cstheme="minorHAnsi"/>
                      <w:color w:val="000000" w:themeColor="text1"/>
                    </w:rPr>
                    <w:t xml:space="preserve"> 77.0)</w:t>
                  </w:r>
                </w:p>
              </w:tc>
              <w:tc>
                <w:tcPr>
                  <w:tcW w:w="1296" w:type="dxa"/>
                  <w:vAlign w:val="center"/>
                </w:tcPr>
                <w:p w14:paraId="122B6115" w14:textId="77777777" w:rsidR="00B61D85" w:rsidRPr="00ED08C3" w:rsidRDefault="00B61D85" w:rsidP="004B6BA5">
                  <w:pPr>
                    <w:framePr w:hSpace="180" w:wrap="around" w:vAnchor="page" w:hAnchor="margin" w:y="2581"/>
                    <w:jc w:val="center"/>
                    <w:rPr>
                      <w:rFonts w:cstheme="minorHAnsi"/>
                      <w:color w:val="000000" w:themeColor="text1"/>
                    </w:rPr>
                  </w:pPr>
                  <w:r w:rsidRPr="00ED08C3">
                    <w:rPr>
                      <w:rFonts w:cstheme="minorHAnsi"/>
                      <w:color w:val="000000" w:themeColor="text1"/>
                    </w:rPr>
                    <w:t>0.40</w:t>
                  </w:r>
                </w:p>
              </w:tc>
            </w:tr>
            <w:tr w:rsidR="00BB1411" w:rsidRPr="00ED08C3" w14:paraId="648E154D" w14:textId="77777777" w:rsidTr="00BB1411">
              <w:trPr>
                <w:trHeight w:val="274"/>
              </w:trPr>
              <w:tc>
                <w:tcPr>
                  <w:tcW w:w="3145" w:type="dxa"/>
                  <w:vAlign w:val="center"/>
                </w:tcPr>
                <w:p w14:paraId="76557D37"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Sex</w:t>
                  </w:r>
                </w:p>
              </w:tc>
              <w:tc>
                <w:tcPr>
                  <w:tcW w:w="1296" w:type="dxa"/>
                  <w:vAlign w:val="center"/>
                </w:tcPr>
                <w:p w14:paraId="48B1A17D" w14:textId="77777777" w:rsidR="00B61D85" w:rsidRPr="00ED08C3" w:rsidRDefault="00B61D85" w:rsidP="004B6BA5">
                  <w:pPr>
                    <w:framePr w:hSpace="180" w:wrap="around" w:vAnchor="page" w:hAnchor="margin" w:y="2581"/>
                    <w:jc w:val="center"/>
                    <w:rPr>
                      <w:rFonts w:eastAsia="Arial" w:cstheme="minorHAnsi"/>
                    </w:rPr>
                  </w:pPr>
                </w:p>
              </w:tc>
              <w:tc>
                <w:tcPr>
                  <w:tcW w:w="1296" w:type="dxa"/>
                  <w:vAlign w:val="center"/>
                </w:tcPr>
                <w:p w14:paraId="618D11A6" w14:textId="77777777" w:rsidR="00B61D85" w:rsidRPr="00ED08C3" w:rsidRDefault="00B61D85" w:rsidP="004B6BA5">
                  <w:pPr>
                    <w:framePr w:hSpace="180" w:wrap="around" w:vAnchor="page" w:hAnchor="margin" w:y="2581"/>
                    <w:jc w:val="center"/>
                    <w:rPr>
                      <w:rFonts w:eastAsia="Arial" w:cstheme="minorHAnsi"/>
                    </w:rPr>
                  </w:pPr>
                </w:p>
              </w:tc>
              <w:tc>
                <w:tcPr>
                  <w:tcW w:w="1296" w:type="dxa"/>
                  <w:vAlign w:val="center"/>
                </w:tcPr>
                <w:p w14:paraId="7BEAF3F4" w14:textId="77777777" w:rsidR="00B61D85" w:rsidRPr="00ED08C3" w:rsidRDefault="00B61D85" w:rsidP="004B6BA5">
                  <w:pPr>
                    <w:framePr w:hSpace="180" w:wrap="around" w:vAnchor="page" w:hAnchor="margin" w:y="2581"/>
                    <w:jc w:val="center"/>
                    <w:rPr>
                      <w:rFonts w:eastAsia="Arial" w:cstheme="minorHAnsi"/>
                    </w:rPr>
                  </w:pPr>
                </w:p>
              </w:tc>
              <w:tc>
                <w:tcPr>
                  <w:tcW w:w="1296" w:type="dxa"/>
                  <w:vAlign w:val="center"/>
                </w:tcPr>
                <w:p w14:paraId="7F9DD1FF"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0.80</w:t>
                  </w:r>
                </w:p>
              </w:tc>
            </w:tr>
            <w:tr w:rsidR="00BB1411" w:rsidRPr="00ED08C3" w14:paraId="7032DD41" w14:textId="77777777" w:rsidTr="00BB1411">
              <w:trPr>
                <w:trHeight w:val="274"/>
              </w:trPr>
              <w:tc>
                <w:tcPr>
                  <w:tcW w:w="3145" w:type="dxa"/>
                  <w:vAlign w:val="center"/>
                </w:tcPr>
                <w:p w14:paraId="39D419F1"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 xml:space="preserve">  Female</w:t>
                  </w:r>
                </w:p>
              </w:tc>
              <w:tc>
                <w:tcPr>
                  <w:tcW w:w="1296" w:type="dxa"/>
                  <w:vAlign w:val="center"/>
                </w:tcPr>
                <w:p w14:paraId="18F40CC4"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630 (36.0%)</w:t>
                  </w:r>
                </w:p>
              </w:tc>
              <w:tc>
                <w:tcPr>
                  <w:tcW w:w="1296" w:type="dxa"/>
                  <w:vAlign w:val="center"/>
                </w:tcPr>
                <w:p w14:paraId="659A895A"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37 (37.4%)</w:t>
                  </w:r>
                </w:p>
              </w:tc>
              <w:tc>
                <w:tcPr>
                  <w:tcW w:w="1296" w:type="dxa"/>
                  <w:vAlign w:val="center"/>
                </w:tcPr>
                <w:p w14:paraId="74942CD7" w14:textId="77777777" w:rsidR="00B61D85" w:rsidRPr="00ED08C3" w:rsidRDefault="00B61D85" w:rsidP="004B6BA5">
                  <w:pPr>
                    <w:framePr w:hSpace="180" w:wrap="around" w:vAnchor="page" w:hAnchor="margin" w:y="2581"/>
                    <w:jc w:val="center"/>
                    <w:rPr>
                      <w:rFonts w:cstheme="minorHAnsi"/>
                      <w:color w:val="000000"/>
                    </w:rPr>
                  </w:pPr>
                  <w:r w:rsidRPr="00ED08C3">
                    <w:rPr>
                      <w:rFonts w:cstheme="minorHAnsi"/>
                      <w:color w:val="000000"/>
                    </w:rPr>
                    <w:t>593 (35.9%)</w:t>
                  </w:r>
                </w:p>
              </w:tc>
              <w:tc>
                <w:tcPr>
                  <w:tcW w:w="1296" w:type="dxa"/>
                  <w:vAlign w:val="center"/>
                </w:tcPr>
                <w:p w14:paraId="73892A90" w14:textId="77777777" w:rsidR="00B61D85" w:rsidRPr="00ED08C3" w:rsidRDefault="00B61D85" w:rsidP="004B6BA5">
                  <w:pPr>
                    <w:framePr w:hSpace="180" w:wrap="around" w:vAnchor="page" w:hAnchor="margin" w:y="2581"/>
                    <w:jc w:val="center"/>
                    <w:rPr>
                      <w:rFonts w:cstheme="minorHAnsi"/>
                      <w:color w:val="000000"/>
                    </w:rPr>
                  </w:pPr>
                </w:p>
              </w:tc>
            </w:tr>
            <w:tr w:rsidR="00BB1411" w:rsidRPr="00ED08C3" w14:paraId="25FBE351" w14:textId="77777777" w:rsidTr="00BB1411">
              <w:trPr>
                <w:trHeight w:val="274"/>
              </w:trPr>
              <w:tc>
                <w:tcPr>
                  <w:tcW w:w="3145" w:type="dxa"/>
                  <w:vAlign w:val="center"/>
                </w:tcPr>
                <w:p w14:paraId="6A5F0C0F"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 xml:space="preserve">  Male</w:t>
                  </w:r>
                </w:p>
              </w:tc>
              <w:tc>
                <w:tcPr>
                  <w:tcW w:w="1296" w:type="dxa"/>
                  <w:vAlign w:val="center"/>
                </w:tcPr>
                <w:p w14:paraId="5B5E889E" w14:textId="77777777" w:rsidR="00B61D85" w:rsidRPr="00ED08C3" w:rsidRDefault="00B61D85" w:rsidP="004B6BA5">
                  <w:pPr>
                    <w:framePr w:hSpace="180" w:wrap="around" w:vAnchor="page" w:hAnchor="margin" w:y="2581"/>
                    <w:jc w:val="center"/>
                    <w:rPr>
                      <w:rFonts w:cstheme="minorHAnsi"/>
                      <w:color w:val="000000"/>
                    </w:rPr>
                  </w:pPr>
                  <w:r w:rsidRPr="00ED08C3">
                    <w:rPr>
                      <w:rFonts w:cstheme="minorHAnsi"/>
                      <w:color w:val="000000" w:themeColor="text1"/>
                    </w:rPr>
                    <w:t>1</w:t>
                  </w:r>
                  <w:r w:rsidRPr="00ED08C3" w:rsidDel="37FDD4E3">
                    <w:rPr>
                      <w:rFonts w:cstheme="minorHAnsi"/>
                      <w:color w:val="000000" w:themeColor="text1"/>
                    </w:rPr>
                    <w:t>,</w:t>
                  </w:r>
                  <w:r w:rsidRPr="00ED08C3">
                    <w:rPr>
                      <w:rFonts w:cstheme="minorHAnsi"/>
                      <w:color w:val="000000" w:themeColor="text1"/>
                    </w:rPr>
                    <w:t>121 (64.0%)</w:t>
                  </w:r>
                </w:p>
              </w:tc>
              <w:tc>
                <w:tcPr>
                  <w:tcW w:w="1296" w:type="dxa"/>
                  <w:vAlign w:val="center"/>
                </w:tcPr>
                <w:p w14:paraId="54AC0830" w14:textId="77777777" w:rsidR="00B61D85" w:rsidRPr="00ED08C3" w:rsidRDefault="00B61D85" w:rsidP="004B6BA5">
                  <w:pPr>
                    <w:framePr w:hSpace="180" w:wrap="around" w:vAnchor="page" w:hAnchor="margin" w:y="2581"/>
                    <w:jc w:val="center"/>
                    <w:rPr>
                      <w:rFonts w:cstheme="minorHAnsi"/>
                      <w:color w:val="000000"/>
                    </w:rPr>
                  </w:pPr>
                  <w:r w:rsidRPr="00ED08C3">
                    <w:rPr>
                      <w:rFonts w:cstheme="minorHAnsi"/>
                      <w:color w:val="000000"/>
                    </w:rPr>
                    <w:t>62 (62.6%)</w:t>
                  </w:r>
                </w:p>
              </w:tc>
              <w:tc>
                <w:tcPr>
                  <w:tcW w:w="1296" w:type="dxa"/>
                  <w:vAlign w:val="center"/>
                </w:tcPr>
                <w:p w14:paraId="66C2FDC4" w14:textId="77777777" w:rsidR="00B61D85" w:rsidRPr="00ED08C3" w:rsidRDefault="00B61D85" w:rsidP="004B6BA5">
                  <w:pPr>
                    <w:framePr w:hSpace="180" w:wrap="around" w:vAnchor="page" w:hAnchor="margin" w:y="2581"/>
                    <w:jc w:val="center"/>
                    <w:rPr>
                      <w:rFonts w:cstheme="minorHAnsi"/>
                      <w:color w:val="000000"/>
                    </w:rPr>
                  </w:pPr>
                  <w:r w:rsidRPr="00ED08C3">
                    <w:rPr>
                      <w:rFonts w:cstheme="minorHAnsi"/>
                      <w:color w:val="000000" w:themeColor="text1"/>
                    </w:rPr>
                    <w:t>1</w:t>
                  </w:r>
                  <w:r w:rsidRPr="00ED08C3" w:rsidDel="37FDD4E3">
                    <w:rPr>
                      <w:rFonts w:cstheme="minorHAnsi"/>
                      <w:color w:val="000000" w:themeColor="text1"/>
                    </w:rPr>
                    <w:t>,</w:t>
                  </w:r>
                  <w:r w:rsidRPr="00ED08C3">
                    <w:rPr>
                      <w:rFonts w:cstheme="minorHAnsi"/>
                      <w:color w:val="000000" w:themeColor="text1"/>
                    </w:rPr>
                    <w:t>059 (64.1%)</w:t>
                  </w:r>
                </w:p>
              </w:tc>
              <w:tc>
                <w:tcPr>
                  <w:tcW w:w="1296" w:type="dxa"/>
                  <w:vAlign w:val="center"/>
                </w:tcPr>
                <w:p w14:paraId="618E2A5C" w14:textId="77777777" w:rsidR="00B61D85" w:rsidRPr="00ED08C3" w:rsidRDefault="00B61D85" w:rsidP="004B6BA5">
                  <w:pPr>
                    <w:framePr w:hSpace="180" w:wrap="around" w:vAnchor="page" w:hAnchor="margin" w:y="2581"/>
                    <w:jc w:val="center"/>
                    <w:rPr>
                      <w:rFonts w:cstheme="minorHAnsi"/>
                      <w:color w:val="000000" w:themeColor="text1"/>
                    </w:rPr>
                  </w:pPr>
                </w:p>
              </w:tc>
            </w:tr>
            <w:tr w:rsidR="00BB1411" w:rsidRPr="00ED08C3" w14:paraId="0B6657C7" w14:textId="77777777" w:rsidTr="00BB1411">
              <w:trPr>
                <w:trHeight w:val="274"/>
              </w:trPr>
              <w:tc>
                <w:tcPr>
                  <w:tcW w:w="3145" w:type="dxa"/>
                  <w:vAlign w:val="center"/>
                </w:tcPr>
                <w:p w14:paraId="4B4C5060"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COPS2</w:t>
                  </w:r>
                  <w:r w:rsidRPr="00ED08C3">
                    <w:rPr>
                      <w:rFonts w:eastAsia="Arial" w:cstheme="minorHAnsi"/>
                      <w:vertAlign w:val="superscript"/>
                    </w:rPr>
                    <w:t xml:space="preserve">a </w:t>
                  </w:r>
                  <w:r w:rsidRPr="00ED08C3">
                    <w:rPr>
                      <w:rFonts w:eastAsia="Arial" w:cstheme="minorHAnsi"/>
                    </w:rPr>
                    <w:t>at hospital entry time</w:t>
                  </w:r>
                </w:p>
              </w:tc>
              <w:tc>
                <w:tcPr>
                  <w:tcW w:w="1296" w:type="dxa"/>
                  <w:vAlign w:val="center"/>
                </w:tcPr>
                <w:p w14:paraId="49B44452"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31.0 (10.0</w:t>
                  </w:r>
                  <w:r w:rsidRPr="00ED08C3" w:rsidDel="37FDD4E3">
                    <w:rPr>
                      <w:rFonts w:cstheme="minorHAnsi"/>
                      <w:color w:val="000000" w:themeColor="text1"/>
                    </w:rPr>
                    <w:t>,</w:t>
                  </w:r>
                  <w:r w:rsidRPr="00ED08C3">
                    <w:rPr>
                      <w:rFonts w:cstheme="minorHAnsi"/>
                      <w:color w:val="000000" w:themeColor="text1"/>
                    </w:rPr>
                    <w:t xml:space="preserve"> 70.0)</w:t>
                  </w:r>
                </w:p>
              </w:tc>
              <w:tc>
                <w:tcPr>
                  <w:tcW w:w="1296" w:type="dxa"/>
                  <w:vAlign w:val="center"/>
                </w:tcPr>
                <w:p w14:paraId="23ADE8A4"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20.0 (10.0</w:t>
                  </w:r>
                  <w:r w:rsidRPr="00ED08C3" w:rsidDel="37FDD4E3">
                    <w:rPr>
                      <w:rFonts w:cstheme="minorHAnsi"/>
                      <w:color w:val="000000" w:themeColor="text1"/>
                    </w:rPr>
                    <w:t>,</w:t>
                  </w:r>
                  <w:r w:rsidRPr="00ED08C3">
                    <w:rPr>
                      <w:rFonts w:cstheme="minorHAnsi"/>
                      <w:color w:val="000000" w:themeColor="text1"/>
                    </w:rPr>
                    <w:t xml:space="preserve"> 48.5)</w:t>
                  </w:r>
                </w:p>
              </w:tc>
              <w:tc>
                <w:tcPr>
                  <w:tcW w:w="1296" w:type="dxa"/>
                  <w:vAlign w:val="center"/>
                </w:tcPr>
                <w:p w14:paraId="61C28FCD" w14:textId="77777777" w:rsidR="00B61D85" w:rsidRPr="00ED08C3" w:rsidRDefault="00B61D85" w:rsidP="004B6BA5">
                  <w:pPr>
                    <w:framePr w:hSpace="180" w:wrap="around" w:vAnchor="page" w:hAnchor="margin" w:y="2581"/>
                    <w:jc w:val="center"/>
                    <w:rPr>
                      <w:rFonts w:cstheme="minorHAnsi"/>
                      <w:color w:val="000000"/>
                    </w:rPr>
                  </w:pPr>
                  <w:r w:rsidRPr="00ED08C3">
                    <w:rPr>
                      <w:rFonts w:cstheme="minorHAnsi"/>
                      <w:color w:val="000000" w:themeColor="text1"/>
                    </w:rPr>
                    <w:t>31.0 (10.0</w:t>
                  </w:r>
                  <w:r w:rsidRPr="00ED08C3" w:rsidDel="37FDD4E3">
                    <w:rPr>
                      <w:rFonts w:cstheme="minorHAnsi"/>
                      <w:color w:val="000000" w:themeColor="text1"/>
                    </w:rPr>
                    <w:t>,</w:t>
                  </w:r>
                  <w:r w:rsidRPr="00ED08C3">
                    <w:rPr>
                      <w:rFonts w:cstheme="minorHAnsi"/>
                      <w:color w:val="000000" w:themeColor="text1"/>
                    </w:rPr>
                    <w:t xml:space="preserve"> 71.0)</w:t>
                  </w:r>
                </w:p>
              </w:tc>
              <w:tc>
                <w:tcPr>
                  <w:tcW w:w="1296" w:type="dxa"/>
                  <w:vAlign w:val="center"/>
                </w:tcPr>
                <w:p w14:paraId="00139C78" w14:textId="77777777" w:rsidR="00B61D85" w:rsidRPr="00ED08C3" w:rsidRDefault="00B61D85" w:rsidP="004B6BA5">
                  <w:pPr>
                    <w:framePr w:hSpace="180" w:wrap="around" w:vAnchor="page" w:hAnchor="margin" w:y="2581"/>
                    <w:jc w:val="center"/>
                    <w:rPr>
                      <w:rFonts w:cstheme="minorHAnsi"/>
                      <w:color w:val="000000" w:themeColor="text1"/>
                    </w:rPr>
                  </w:pPr>
                  <w:r w:rsidRPr="00ED08C3">
                    <w:rPr>
                      <w:rFonts w:cstheme="minorHAnsi"/>
                      <w:color w:val="000000" w:themeColor="text1"/>
                    </w:rPr>
                    <w:t>0.04</w:t>
                  </w:r>
                </w:p>
              </w:tc>
            </w:tr>
            <w:tr w:rsidR="00BB1411" w:rsidRPr="00ED08C3" w14:paraId="51606590" w14:textId="77777777" w:rsidTr="00BB1411">
              <w:trPr>
                <w:trHeight w:val="274"/>
              </w:trPr>
              <w:tc>
                <w:tcPr>
                  <w:tcW w:w="3145" w:type="dxa"/>
                  <w:vAlign w:val="center"/>
                </w:tcPr>
                <w:p w14:paraId="704218E6"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LAPS2</w:t>
                  </w:r>
                  <w:r w:rsidRPr="00ED08C3">
                    <w:rPr>
                      <w:rFonts w:eastAsia="Arial" w:cstheme="minorHAnsi"/>
                      <w:vertAlign w:val="superscript"/>
                    </w:rPr>
                    <w:t xml:space="preserve">b </w:t>
                  </w:r>
                  <w:r w:rsidRPr="00ED08C3">
                    <w:rPr>
                      <w:rFonts w:eastAsia="Arial" w:cstheme="minorHAnsi"/>
                    </w:rPr>
                    <w:t>at hospital entry time</w:t>
                  </w:r>
                </w:p>
              </w:tc>
              <w:tc>
                <w:tcPr>
                  <w:tcW w:w="1296" w:type="dxa"/>
                  <w:vAlign w:val="center"/>
                </w:tcPr>
                <w:p w14:paraId="32C23279"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89.0 (63.0</w:t>
                  </w:r>
                  <w:r w:rsidRPr="00ED08C3" w:rsidDel="37FDD4E3">
                    <w:rPr>
                      <w:rFonts w:cstheme="minorHAnsi"/>
                      <w:color w:val="000000" w:themeColor="text1"/>
                    </w:rPr>
                    <w:t>,</w:t>
                  </w:r>
                  <w:r w:rsidRPr="00ED08C3">
                    <w:rPr>
                      <w:rFonts w:cstheme="minorHAnsi"/>
                      <w:color w:val="000000" w:themeColor="text1"/>
                    </w:rPr>
                    <w:t xml:space="preserve"> 119.0)</w:t>
                  </w:r>
                </w:p>
              </w:tc>
              <w:tc>
                <w:tcPr>
                  <w:tcW w:w="1296" w:type="dxa"/>
                  <w:vAlign w:val="center"/>
                </w:tcPr>
                <w:p w14:paraId="5F172A97"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96.0 (66.5</w:t>
                  </w:r>
                  <w:r w:rsidRPr="00ED08C3" w:rsidDel="37FDD4E3">
                    <w:rPr>
                      <w:rFonts w:cstheme="minorHAnsi"/>
                      <w:color w:val="000000" w:themeColor="text1"/>
                    </w:rPr>
                    <w:t>,</w:t>
                  </w:r>
                  <w:r w:rsidRPr="00ED08C3">
                    <w:rPr>
                      <w:rFonts w:cstheme="minorHAnsi"/>
                      <w:color w:val="000000" w:themeColor="text1"/>
                    </w:rPr>
                    <w:t xml:space="preserve"> 120.0)</w:t>
                  </w:r>
                </w:p>
              </w:tc>
              <w:tc>
                <w:tcPr>
                  <w:tcW w:w="1296" w:type="dxa"/>
                  <w:vAlign w:val="center"/>
                </w:tcPr>
                <w:p w14:paraId="16C9CC82" w14:textId="77777777" w:rsidR="00B61D85" w:rsidRPr="00ED08C3" w:rsidRDefault="00B61D85" w:rsidP="004B6BA5">
                  <w:pPr>
                    <w:framePr w:hSpace="180" w:wrap="around" w:vAnchor="page" w:hAnchor="margin" w:y="2581"/>
                    <w:jc w:val="center"/>
                    <w:rPr>
                      <w:rFonts w:cstheme="minorHAnsi"/>
                      <w:color w:val="000000"/>
                    </w:rPr>
                  </w:pPr>
                  <w:r w:rsidRPr="00ED08C3">
                    <w:rPr>
                      <w:rFonts w:cstheme="minorHAnsi"/>
                      <w:color w:val="000000" w:themeColor="text1"/>
                    </w:rPr>
                    <w:t>89.0 (63.0</w:t>
                  </w:r>
                  <w:r w:rsidRPr="00ED08C3" w:rsidDel="37FDD4E3">
                    <w:rPr>
                      <w:rFonts w:cstheme="minorHAnsi"/>
                      <w:color w:val="000000" w:themeColor="text1"/>
                    </w:rPr>
                    <w:t>,</w:t>
                  </w:r>
                  <w:r w:rsidRPr="00ED08C3">
                    <w:rPr>
                      <w:rFonts w:cstheme="minorHAnsi"/>
                      <w:color w:val="000000" w:themeColor="text1"/>
                    </w:rPr>
                    <w:t xml:space="preserve"> 119.0)</w:t>
                  </w:r>
                </w:p>
              </w:tc>
              <w:tc>
                <w:tcPr>
                  <w:tcW w:w="1296" w:type="dxa"/>
                  <w:vAlign w:val="center"/>
                </w:tcPr>
                <w:p w14:paraId="56B74F0C" w14:textId="77777777" w:rsidR="00B61D85" w:rsidRPr="00ED08C3" w:rsidRDefault="00B61D85" w:rsidP="004B6BA5">
                  <w:pPr>
                    <w:framePr w:hSpace="180" w:wrap="around" w:vAnchor="page" w:hAnchor="margin" w:y="2581"/>
                    <w:jc w:val="center"/>
                    <w:rPr>
                      <w:rFonts w:cstheme="minorHAnsi"/>
                      <w:color w:val="000000" w:themeColor="text1"/>
                    </w:rPr>
                  </w:pPr>
                  <w:r w:rsidRPr="00ED08C3">
                    <w:rPr>
                      <w:rFonts w:cstheme="minorHAnsi"/>
                      <w:color w:val="000000" w:themeColor="text1"/>
                    </w:rPr>
                    <w:t>0.30</w:t>
                  </w:r>
                </w:p>
              </w:tc>
            </w:tr>
            <w:tr w:rsidR="00BB1411" w:rsidRPr="00ED08C3" w14:paraId="2B731202" w14:textId="77777777" w:rsidTr="00BB1411">
              <w:trPr>
                <w:trHeight w:val="274"/>
              </w:trPr>
              <w:tc>
                <w:tcPr>
                  <w:tcW w:w="3145" w:type="dxa"/>
                  <w:vAlign w:val="center"/>
                </w:tcPr>
                <w:p w14:paraId="7A2515DB"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Supplemental oxygen before hospitalization</w:t>
                  </w:r>
                </w:p>
              </w:tc>
              <w:tc>
                <w:tcPr>
                  <w:tcW w:w="1296" w:type="dxa"/>
                  <w:vAlign w:val="center"/>
                </w:tcPr>
                <w:p w14:paraId="7BC47CDF"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162 (9.3%)</w:t>
                  </w:r>
                </w:p>
              </w:tc>
              <w:tc>
                <w:tcPr>
                  <w:tcW w:w="1296" w:type="dxa"/>
                  <w:vAlign w:val="center"/>
                </w:tcPr>
                <w:p w14:paraId="3BF78334"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5 (5.1%)</w:t>
                  </w:r>
                </w:p>
              </w:tc>
              <w:tc>
                <w:tcPr>
                  <w:tcW w:w="1296" w:type="dxa"/>
                  <w:vAlign w:val="center"/>
                </w:tcPr>
                <w:p w14:paraId="2171360A"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157 (9.5%)</w:t>
                  </w:r>
                </w:p>
              </w:tc>
              <w:tc>
                <w:tcPr>
                  <w:tcW w:w="1296" w:type="dxa"/>
                  <w:vAlign w:val="center"/>
                </w:tcPr>
                <w:p w14:paraId="0F32D070"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0.14</w:t>
                  </w:r>
                </w:p>
              </w:tc>
            </w:tr>
            <w:tr w:rsidR="00BB1411" w:rsidRPr="00ED08C3" w14:paraId="316234AC" w14:textId="77777777" w:rsidTr="00BB1411">
              <w:trPr>
                <w:trHeight w:val="274"/>
              </w:trPr>
              <w:tc>
                <w:tcPr>
                  <w:tcW w:w="3145" w:type="dxa"/>
                  <w:vAlign w:val="center"/>
                </w:tcPr>
                <w:p w14:paraId="7886AED7"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Intensive care unit admission from emergency department</w:t>
                  </w:r>
                </w:p>
              </w:tc>
              <w:tc>
                <w:tcPr>
                  <w:tcW w:w="1296" w:type="dxa"/>
                  <w:vAlign w:val="center"/>
                </w:tcPr>
                <w:p w14:paraId="61EE5F52"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236 (13.5%)</w:t>
                  </w:r>
                </w:p>
              </w:tc>
              <w:tc>
                <w:tcPr>
                  <w:tcW w:w="1296" w:type="dxa"/>
                  <w:vAlign w:val="center"/>
                </w:tcPr>
                <w:p w14:paraId="10CBB850"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14 (14.1%)</w:t>
                  </w:r>
                </w:p>
              </w:tc>
              <w:tc>
                <w:tcPr>
                  <w:tcW w:w="1296" w:type="dxa"/>
                  <w:vAlign w:val="center"/>
                </w:tcPr>
                <w:p w14:paraId="726AA1A3"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222 (13.4%)</w:t>
                  </w:r>
                </w:p>
              </w:tc>
              <w:tc>
                <w:tcPr>
                  <w:tcW w:w="1296" w:type="dxa"/>
                  <w:vAlign w:val="center"/>
                </w:tcPr>
                <w:p w14:paraId="7FC7DC7A"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0.80</w:t>
                  </w:r>
                </w:p>
              </w:tc>
            </w:tr>
            <w:tr w:rsidR="00BB1411" w:rsidRPr="00ED08C3" w14:paraId="1944CC8D" w14:textId="77777777" w:rsidTr="00BB1411">
              <w:trPr>
                <w:trHeight w:val="274"/>
              </w:trPr>
              <w:tc>
                <w:tcPr>
                  <w:tcW w:w="3145" w:type="dxa"/>
                  <w:vAlign w:val="center"/>
                </w:tcPr>
                <w:p w14:paraId="1F8B8A2C" w14:textId="77777777" w:rsidR="00B61D85" w:rsidRPr="00ED08C3" w:rsidRDefault="00B61D85" w:rsidP="004B6BA5">
                  <w:pPr>
                    <w:framePr w:hSpace="180" w:wrap="around" w:vAnchor="page" w:hAnchor="margin" w:y="2581"/>
                    <w:rPr>
                      <w:rFonts w:cstheme="minorHAnsi"/>
                      <w:color w:val="000000" w:themeColor="text1"/>
                    </w:rPr>
                  </w:pPr>
                  <w:r w:rsidRPr="00ED08C3">
                    <w:rPr>
                      <w:rFonts w:cstheme="minorHAnsi"/>
                      <w:color w:val="000000" w:themeColor="text1"/>
                    </w:rPr>
                    <w:t>Blood Culture Positive</w:t>
                  </w:r>
                </w:p>
              </w:tc>
              <w:tc>
                <w:tcPr>
                  <w:tcW w:w="1296" w:type="dxa"/>
                  <w:vAlign w:val="center"/>
                </w:tcPr>
                <w:p w14:paraId="47406BBD"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214 (12.2%)</w:t>
                  </w:r>
                </w:p>
              </w:tc>
              <w:tc>
                <w:tcPr>
                  <w:tcW w:w="1296" w:type="dxa"/>
                  <w:vAlign w:val="center"/>
                </w:tcPr>
                <w:p w14:paraId="0D71FC84"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17 (17.2%)</w:t>
                  </w:r>
                </w:p>
              </w:tc>
              <w:tc>
                <w:tcPr>
                  <w:tcW w:w="1296" w:type="dxa"/>
                  <w:vAlign w:val="center"/>
                </w:tcPr>
                <w:p w14:paraId="68F11909"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197 (11.9%)</w:t>
                  </w:r>
                </w:p>
              </w:tc>
              <w:tc>
                <w:tcPr>
                  <w:tcW w:w="1296" w:type="dxa"/>
                  <w:vAlign w:val="center"/>
                </w:tcPr>
                <w:p w14:paraId="045A5A3F"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0.12</w:t>
                  </w:r>
                </w:p>
              </w:tc>
            </w:tr>
            <w:tr w:rsidR="00BB1411" w:rsidRPr="00ED08C3" w14:paraId="1708933E" w14:textId="77777777" w:rsidTr="00BB1411">
              <w:trPr>
                <w:trHeight w:val="274"/>
              </w:trPr>
              <w:tc>
                <w:tcPr>
                  <w:tcW w:w="3145" w:type="dxa"/>
                  <w:vAlign w:val="center"/>
                </w:tcPr>
                <w:p w14:paraId="7F67F065" w14:textId="77777777" w:rsidR="00B61D85" w:rsidRPr="00ED08C3" w:rsidRDefault="00B61D85" w:rsidP="004B6BA5">
                  <w:pPr>
                    <w:framePr w:hSpace="180" w:wrap="around" w:vAnchor="page" w:hAnchor="margin" w:y="2581"/>
                    <w:rPr>
                      <w:rFonts w:cstheme="minorHAnsi"/>
                      <w:color w:val="000000" w:themeColor="text1"/>
                    </w:rPr>
                  </w:pPr>
                  <w:r w:rsidRPr="00ED08C3">
                    <w:rPr>
                      <w:rFonts w:cstheme="minorHAnsi"/>
                      <w:color w:val="000000" w:themeColor="text1"/>
                    </w:rPr>
                    <w:t>Pleural Fluid Culture Positive</w:t>
                  </w:r>
                </w:p>
              </w:tc>
              <w:tc>
                <w:tcPr>
                  <w:tcW w:w="1296" w:type="dxa"/>
                  <w:vAlign w:val="center"/>
                </w:tcPr>
                <w:p w14:paraId="517E5537"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538 (30.7%)</w:t>
                  </w:r>
                </w:p>
              </w:tc>
              <w:tc>
                <w:tcPr>
                  <w:tcW w:w="1296" w:type="dxa"/>
                  <w:vAlign w:val="center"/>
                </w:tcPr>
                <w:p w14:paraId="76980900"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41 (41.4%)</w:t>
                  </w:r>
                </w:p>
              </w:tc>
              <w:tc>
                <w:tcPr>
                  <w:tcW w:w="1296" w:type="dxa"/>
                  <w:vAlign w:val="center"/>
                </w:tcPr>
                <w:p w14:paraId="419E4607"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497 (30.1%)</w:t>
                  </w:r>
                </w:p>
              </w:tc>
              <w:tc>
                <w:tcPr>
                  <w:tcW w:w="1296" w:type="dxa"/>
                  <w:vAlign w:val="center"/>
                </w:tcPr>
                <w:p w14:paraId="6FF14C4A"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0.02</w:t>
                  </w:r>
                </w:p>
              </w:tc>
            </w:tr>
            <w:tr w:rsidR="00BB1411" w:rsidRPr="00ED08C3" w14:paraId="4AF5E9A3" w14:textId="77777777" w:rsidTr="00BB1411">
              <w:trPr>
                <w:trHeight w:val="274"/>
              </w:trPr>
              <w:tc>
                <w:tcPr>
                  <w:tcW w:w="3145" w:type="dxa"/>
                  <w:vAlign w:val="center"/>
                </w:tcPr>
                <w:p w14:paraId="3F057BC7" w14:textId="77777777" w:rsidR="00B61D85" w:rsidRPr="00ED08C3" w:rsidRDefault="00B61D85" w:rsidP="004B6BA5">
                  <w:pPr>
                    <w:framePr w:hSpace="180" w:wrap="around" w:vAnchor="page" w:hAnchor="margin" w:y="2581"/>
                    <w:rPr>
                      <w:rFonts w:eastAsia="Arial" w:cstheme="minorHAnsi"/>
                    </w:rPr>
                  </w:pPr>
                  <w:r w:rsidRPr="00ED08C3">
                    <w:rPr>
                      <w:rFonts w:cstheme="minorHAnsi"/>
                      <w:color w:val="000000" w:themeColor="text1"/>
                    </w:rPr>
                    <w:t>Time between hospital entry time and placement of Chest Tube</w:t>
                  </w:r>
                </w:p>
              </w:tc>
              <w:tc>
                <w:tcPr>
                  <w:tcW w:w="1296" w:type="dxa"/>
                  <w:vAlign w:val="center"/>
                </w:tcPr>
                <w:p w14:paraId="506A5B5B"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0.9 (0.3</w:t>
                  </w:r>
                  <w:r w:rsidRPr="00ED08C3" w:rsidDel="37FDD4E3">
                    <w:rPr>
                      <w:rFonts w:cstheme="minorHAnsi"/>
                      <w:color w:val="000000" w:themeColor="text1"/>
                    </w:rPr>
                    <w:t>,</w:t>
                  </w:r>
                  <w:r w:rsidRPr="00ED08C3">
                    <w:rPr>
                      <w:rFonts w:cstheme="minorHAnsi"/>
                      <w:color w:val="000000" w:themeColor="text1"/>
                    </w:rPr>
                    <w:t xml:space="preserve"> 3.0)</w:t>
                  </w:r>
                </w:p>
              </w:tc>
              <w:tc>
                <w:tcPr>
                  <w:tcW w:w="1296" w:type="dxa"/>
                  <w:vAlign w:val="center"/>
                </w:tcPr>
                <w:p w14:paraId="1B3F98A3"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0.7 (0.0</w:t>
                  </w:r>
                  <w:r w:rsidRPr="00ED08C3" w:rsidDel="37FDD4E3">
                    <w:rPr>
                      <w:rFonts w:cstheme="minorHAnsi"/>
                      <w:color w:val="000000" w:themeColor="text1"/>
                    </w:rPr>
                    <w:t>,</w:t>
                  </w:r>
                  <w:r w:rsidRPr="00ED08C3">
                    <w:rPr>
                      <w:rFonts w:cstheme="minorHAnsi"/>
                      <w:color w:val="000000" w:themeColor="text1"/>
                    </w:rPr>
                    <w:t xml:space="preserve"> 1.8)</w:t>
                  </w:r>
                </w:p>
              </w:tc>
              <w:tc>
                <w:tcPr>
                  <w:tcW w:w="1296" w:type="dxa"/>
                  <w:vAlign w:val="center"/>
                </w:tcPr>
                <w:p w14:paraId="71CF723D" w14:textId="77777777" w:rsidR="00B61D85" w:rsidRPr="00ED08C3" w:rsidRDefault="00B61D85" w:rsidP="004B6BA5">
                  <w:pPr>
                    <w:framePr w:hSpace="180" w:wrap="around" w:vAnchor="page" w:hAnchor="margin" w:y="2581"/>
                    <w:jc w:val="center"/>
                    <w:rPr>
                      <w:rFonts w:cstheme="minorHAnsi"/>
                      <w:color w:val="000000"/>
                    </w:rPr>
                  </w:pPr>
                  <w:r w:rsidRPr="00ED08C3">
                    <w:rPr>
                      <w:rFonts w:cstheme="minorHAnsi"/>
                      <w:color w:val="000000" w:themeColor="text1"/>
                    </w:rPr>
                    <w:t>1.0 (0.4</w:t>
                  </w:r>
                  <w:r w:rsidRPr="00ED08C3" w:rsidDel="37FDD4E3">
                    <w:rPr>
                      <w:rFonts w:cstheme="minorHAnsi"/>
                      <w:color w:val="000000" w:themeColor="text1"/>
                    </w:rPr>
                    <w:t>,</w:t>
                  </w:r>
                  <w:r w:rsidRPr="00ED08C3">
                    <w:rPr>
                      <w:rFonts w:cstheme="minorHAnsi"/>
                      <w:color w:val="000000" w:themeColor="text1"/>
                    </w:rPr>
                    <w:t xml:space="preserve"> 3.0)</w:t>
                  </w:r>
                </w:p>
              </w:tc>
              <w:tc>
                <w:tcPr>
                  <w:tcW w:w="1296" w:type="dxa"/>
                  <w:vAlign w:val="center"/>
                </w:tcPr>
                <w:p w14:paraId="3E5E83DF" w14:textId="77777777" w:rsidR="00B61D85" w:rsidRPr="00ED08C3" w:rsidRDefault="00B61D85" w:rsidP="004B6BA5">
                  <w:pPr>
                    <w:framePr w:hSpace="180" w:wrap="around" w:vAnchor="page" w:hAnchor="margin" w:y="2581"/>
                    <w:jc w:val="center"/>
                    <w:rPr>
                      <w:rFonts w:cstheme="minorHAnsi"/>
                      <w:color w:val="000000" w:themeColor="text1"/>
                    </w:rPr>
                  </w:pPr>
                  <w:r w:rsidRPr="00ED08C3">
                    <w:rPr>
                      <w:rFonts w:cstheme="minorHAnsi"/>
                      <w:color w:val="000000" w:themeColor="text1"/>
                    </w:rPr>
                    <w:t>0.006</w:t>
                  </w:r>
                </w:p>
              </w:tc>
            </w:tr>
            <w:tr w:rsidR="00BB1411" w:rsidRPr="00ED08C3" w14:paraId="27A2BCF5" w14:textId="77777777" w:rsidTr="00BB1411">
              <w:trPr>
                <w:trHeight w:val="274"/>
              </w:trPr>
              <w:tc>
                <w:tcPr>
                  <w:tcW w:w="3145" w:type="dxa"/>
                  <w:vAlign w:val="center"/>
                </w:tcPr>
                <w:p w14:paraId="5710F412" w14:textId="77777777" w:rsidR="00B61D85" w:rsidRPr="00ED08C3" w:rsidRDefault="00B61D85" w:rsidP="004B6BA5">
                  <w:pPr>
                    <w:framePr w:hSpace="180" w:wrap="around" w:vAnchor="page" w:hAnchor="margin" w:y="2581"/>
                    <w:rPr>
                      <w:rFonts w:eastAsia="Arial" w:cstheme="minorHAnsi"/>
                    </w:rPr>
                  </w:pPr>
                  <w:r w:rsidRPr="00ED08C3">
                    <w:rPr>
                      <w:rFonts w:cstheme="minorHAnsi"/>
                      <w:color w:val="000000" w:themeColor="text1"/>
                    </w:rPr>
                    <w:t>Non-metastatic solid cancer</w:t>
                  </w:r>
                </w:p>
              </w:tc>
              <w:tc>
                <w:tcPr>
                  <w:tcW w:w="1296" w:type="dxa"/>
                  <w:vAlign w:val="center"/>
                </w:tcPr>
                <w:p w14:paraId="407038EC"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308 (17.6%)</w:t>
                  </w:r>
                </w:p>
              </w:tc>
              <w:tc>
                <w:tcPr>
                  <w:tcW w:w="1296" w:type="dxa"/>
                  <w:vAlign w:val="center"/>
                </w:tcPr>
                <w:p w14:paraId="2C447C2B" w14:textId="77777777" w:rsidR="00B61D85" w:rsidRPr="00ED08C3" w:rsidRDefault="00B61D85" w:rsidP="004B6BA5">
                  <w:pPr>
                    <w:framePr w:hSpace="180" w:wrap="around" w:vAnchor="page" w:hAnchor="margin" w:y="2581"/>
                    <w:jc w:val="center"/>
                    <w:rPr>
                      <w:rFonts w:cstheme="minorHAnsi"/>
                      <w:color w:val="000000" w:themeColor="text1"/>
                    </w:rPr>
                  </w:pPr>
                  <w:r w:rsidRPr="00ED08C3">
                    <w:rPr>
                      <w:rFonts w:cstheme="minorHAnsi"/>
                      <w:color w:val="000000" w:themeColor="text1"/>
                    </w:rPr>
                    <w:t>20 (20.2%)</w:t>
                  </w:r>
                </w:p>
              </w:tc>
              <w:tc>
                <w:tcPr>
                  <w:tcW w:w="1296" w:type="dxa"/>
                  <w:vAlign w:val="center"/>
                </w:tcPr>
                <w:p w14:paraId="5A5C4D91" w14:textId="77777777" w:rsidR="00B61D85" w:rsidRPr="00ED08C3" w:rsidRDefault="00B61D85" w:rsidP="004B6BA5">
                  <w:pPr>
                    <w:framePr w:hSpace="180" w:wrap="around" w:vAnchor="page" w:hAnchor="margin" w:y="2581"/>
                    <w:jc w:val="center"/>
                    <w:rPr>
                      <w:rFonts w:cstheme="minorHAnsi"/>
                      <w:color w:val="000000" w:themeColor="text1"/>
                    </w:rPr>
                  </w:pPr>
                  <w:r w:rsidRPr="00ED08C3">
                    <w:rPr>
                      <w:rFonts w:cstheme="minorHAnsi"/>
                      <w:color w:val="000000" w:themeColor="text1"/>
                    </w:rPr>
                    <w:t>288 (17.4%)</w:t>
                  </w:r>
                </w:p>
              </w:tc>
              <w:tc>
                <w:tcPr>
                  <w:tcW w:w="1296" w:type="dxa"/>
                  <w:vAlign w:val="center"/>
                </w:tcPr>
                <w:p w14:paraId="2218AC9D" w14:textId="77777777" w:rsidR="00B61D85" w:rsidRPr="00ED08C3" w:rsidRDefault="00B61D85" w:rsidP="004B6BA5">
                  <w:pPr>
                    <w:framePr w:hSpace="180" w:wrap="around" w:vAnchor="page" w:hAnchor="margin" w:y="2581"/>
                    <w:jc w:val="center"/>
                    <w:rPr>
                      <w:rFonts w:cstheme="minorHAnsi"/>
                      <w:color w:val="000000" w:themeColor="text1"/>
                    </w:rPr>
                  </w:pPr>
                  <w:r w:rsidRPr="00ED08C3">
                    <w:rPr>
                      <w:rFonts w:cstheme="minorHAnsi"/>
                      <w:color w:val="000000" w:themeColor="text1"/>
                    </w:rPr>
                    <w:t>0.50</w:t>
                  </w:r>
                </w:p>
              </w:tc>
            </w:tr>
            <w:tr w:rsidR="00BB1411" w:rsidRPr="00ED08C3" w14:paraId="4E08D852" w14:textId="77777777" w:rsidTr="00BB1411">
              <w:trPr>
                <w:trHeight w:val="274"/>
              </w:trPr>
              <w:tc>
                <w:tcPr>
                  <w:tcW w:w="3145" w:type="dxa"/>
                  <w:vAlign w:val="center"/>
                </w:tcPr>
                <w:p w14:paraId="2937C624" w14:textId="77777777" w:rsidR="00B61D85" w:rsidRPr="00ED08C3" w:rsidRDefault="00B61D85" w:rsidP="004B6BA5">
                  <w:pPr>
                    <w:framePr w:hSpace="180" w:wrap="around" w:vAnchor="page" w:hAnchor="margin" w:y="2581"/>
                    <w:rPr>
                      <w:rFonts w:cstheme="minorHAnsi"/>
                      <w:color w:val="000000" w:themeColor="text1"/>
                    </w:rPr>
                  </w:pPr>
                  <w:r w:rsidRPr="00ED08C3">
                    <w:rPr>
                      <w:rFonts w:cstheme="minorHAnsi"/>
                      <w:color w:val="000000" w:themeColor="text1"/>
                    </w:rPr>
                    <w:t>Metastatic solid cancer</w:t>
                  </w:r>
                </w:p>
              </w:tc>
              <w:tc>
                <w:tcPr>
                  <w:tcW w:w="1296" w:type="dxa"/>
                  <w:vAlign w:val="center"/>
                </w:tcPr>
                <w:p w14:paraId="5BB92353"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themeColor="text1"/>
                    </w:rPr>
                    <w:t>186 (10.6%)</w:t>
                  </w:r>
                </w:p>
              </w:tc>
              <w:tc>
                <w:tcPr>
                  <w:tcW w:w="1296" w:type="dxa"/>
                  <w:vAlign w:val="center"/>
                </w:tcPr>
                <w:p w14:paraId="688D1598" w14:textId="77777777" w:rsidR="00B61D85" w:rsidRPr="00ED08C3" w:rsidRDefault="00B61D85" w:rsidP="004B6BA5">
                  <w:pPr>
                    <w:framePr w:hSpace="180" w:wrap="around" w:vAnchor="page" w:hAnchor="margin" w:y="2581"/>
                    <w:jc w:val="center"/>
                    <w:rPr>
                      <w:rFonts w:cstheme="minorHAnsi"/>
                      <w:color w:val="000000" w:themeColor="text1"/>
                    </w:rPr>
                  </w:pPr>
                  <w:r w:rsidRPr="00ED08C3">
                    <w:rPr>
                      <w:rFonts w:cstheme="minorHAnsi"/>
                      <w:color w:val="000000" w:themeColor="text1"/>
                    </w:rPr>
                    <w:t>10 (10.1%)</w:t>
                  </w:r>
                </w:p>
              </w:tc>
              <w:tc>
                <w:tcPr>
                  <w:tcW w:w="1296" w:type="dxa"/>
                  <w:vAlign w:val="center"/>
                </w:tcPr>
                <w:p w14:paraId="07825E62" w14:textId="77777777" w:rsidR="00B61D85" w:rsidRPr="00ED08C3" w:rsidRDefault="00B61D85" w:rsidP="004B6BA5">
                  <w:pPr>
                    <w:framePr w:hSpace="180" w:wrap="around" w:vAnchor="page" w:hAnchor="margin" w:y="2581"/>
                    <w:jc w:val="center"/>
                    <w:rPr>
                      <w:rFonts w:cstheme="minorHAnsi"/>
                      <w:color w:val="000000" w:themeColor="text1"/>
                    </w:rPr>
                  </w:pPr>
                  <w:r w:rsidRPr="00ED08C3">
                    <w:rPr>
                      <w:rFonts w:cstheme="minorHAnsi"/>
                      <w:color w:val="000000" w:themeColor="text1"/>
                    </w:rPr>
                    <w:t>176 (10.7%)</w:t>
                  </w:r>
                </w:p>
              </w:tc>
              <w:tc>
                <w:tcPr>
                  <w:tcW w:w="1296" w:type="dxa"/>
                  <w:vAlign w:val="center"/>
                </w:tcPr>
                <w:p w14:paraId="2F6B9A3D" w14:textId="77777777" w:rsidR="00B61D85" w:rsidRPr="00ED08C3" w:rsidRDefault="00B61D85" w:rsidP="004B6BA5">
                  <w:pPr>
                    <w:framePr w:hSpace="180" w:wrap="around" w:vAnchor="page" w:hAnchor="margin" w:y="2581"/>
                    <w:jc w:val="center"/>
                    <w:rPr>
                      <w:rFonts w:cstheme="minorHAnsi"/>
                      <w:color w:val="000000" w:themeColor="text1"/>
                    </w:rPr>
                  </w:pPr>
                  <w:r w:rsidRPr="00ED08C3">
                    <w:rPr>
                      <w:rFonts w:cstheme="minorHAnsi"/>
                      <w:color w:val="000000" w:themeColor="text1"/>
                    </w:rPr>
                    <w:t>0.90</w:t>
                  </w:r>
                </w:p>
              </w:tc>
            </w:tr>
            <w:tr w:rsidR="00BB1411" w:rsidRPr="00ED08C3" w14:paraId="50154770" w14:textId="77777777" w:rsidTr="00BB1411">
              <w:trPr>
                <w:trHeight w:val="274"/>
              </w:trPr>
              <w:tc>
                <w:tcPr>
                  <w:tcW w:w="3145" w:type="dxa"/>
                  <w:vAlign w:val="center"/>
                </w:tcPr>
                <w:p w14:paraId="445FAA8A" w14:textId="77777777" w:rsidR="00B61D85" w:rsidRPr="00ED08C3" w:rsidRDefault="00B61D85" w:rsidP="004B6BA5">
                  <w:pPr>
                    <w:framePr w:hSpace="180" w:wrap="around" w:vAnchor="page" w:hAnchor="margin" w:y="2581"/>
                    <w:rPr>
                      <w:rFonts w:eastAsia="Arial" w:cstheme="minorHAnsi"/>
                    </w:rPr>
                  </w:pPr>
                  <w:r w:rsidRPr="00ED08C3">
                    <w:rPr>
                      <w:rFonts w:cstheme="minorHAnsi"/>
                      <w:color w:val="000000" w:themeColor="text1"/>
                    </w:rPr>
                    <w:t>Lymphoma</w:t>
                  </w:r>
                </w:p>
              </w:tc>
              <w:tc>
                <w:tcPr>
                  <w:tcW w:w="1296" w:type="dxa"/>
                  <w:vAlign w:val="center"/>
                </w:tcPr>
                <w:p w14:paraId="251E476D"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43 (2.5%)</w:t>
                  </w:r>
                </w:p>
              </w:tc>
              <w:tc>
                <w:tcPr>
                  <w:tcW w:w="1296" w:type="dxa"/>
                  <w:vAlign w:val="center"/>
                </w:tcPr>
                <w:p w14:paraId="15A6EB87"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2 (2.0%)</w:t>
                  </w:r>
                </w:p>
              </w:tc>
              <w:tc>
                <w:tcPr>
                  <w:tcW w:w="1296" w:type="dxa"/>
                  <w:vAlign w:val="center"/>
                </w:tcPr>
                <w:p w14:paraId="3FA66618"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41 (2.5%)</w:t>
                  </w:r>
                </w:p>
              </w:tc>
              <w:tc>
                <w:tcPr>
                  <w:tcW w:w="1296" w:type="dxa"/>
                  <w:vAlign w:val="center"/>
                </w:tcPr>
                <w:p w14:paraId="6DA78E91"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&gt;0.9</w:t>
                  </w:r>
                </w:p>
              </w:tc>
            </w:tr>
            <w:tr w:rsidR="00BB1411" w:rsidRPr="00ED08C3" w14:paraId="54B36DBD" w14:textId="77777777" w:rsidTr="00BB1411">
              <w:trPr>
                <w:trHeight w:val="274"/>
              </w:trPr>
              <w:tc>
                <w:tcPr>
                  <w:tcW w:w="3145" w:type="dxa"/>
                  <w:vAlign w:val="center"/>
                </w:tcPr>
                <w:p w14:paraId="5B6269C7" w14:textId="77777777" w:rsidR="00B61D85" w:rsidRPr="00ED08C3" w:rsidRDefault="00B61D85" w:rsidP="004B6BA5">
                  <w:pPr>
                    <w:framePr w:hSpace="180" w:wrap="around" w:vAnchor="page" w:hAnchor="margin" w:y="2581"/>
                    <w:rPr>
                      <w:rFonts w:cstheme="minorHAnsi"/>
                      <w:color w:val="000000" w:themeColor="text1"/>
                    </w:rPr>
                  </w:pPr>
                  <w:r w:rsidRPr="00ED08C3">
                    <w:rPr>
                      <w:rFonts w:cstheme="minorHAnsi"/>
                      <w:color w:val="000000" w:themeColor="text1"/>
                    </w:rPr>
                    <w:t>Immunocompromised status (based on diagnosis codes or immunosuppressants/chemotherapy)</w:t>
                  </w:r>
                </w:p>
              </w:tc>
              <w:tc>
                <w:tcPr>
                  <w:tcW w:w="1296" w:type="dxa"/>
                  <w:vAlign w:val="center"/>
                </w:tcPr>
                <w:p w14:paraId="6980EC2E"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101 (5.8%)</w:t>
                  </w:r>
                </w:p>
              </w:tc>
              <w:tc>
                <w:tcPr>
                  <w:tcW w:w="1296" w:type="dxa"/>
                  <w:vAlign w:val="center"/>
                </w:tcPr>
                <w:p w14:paraId="11F18857"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5 (5.1%)</w:t>
                  </w:r>
                </w:p>
              </w:tc>
              <w:tc>
                <w:tcPr>
                  <w:tcW w:w="1296" w:type="dxa"/>
                  <w:vAlign w:val="center"/>
                </w:tcPr>
                <w:p w14:paraId="7A082D18"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96 (5.8%)</w:t>
                  </w:r>
                </w:p>
              </w:tc>
              <w:tc>
                <w:tcPr>
                  <w:tcW w:w="1296" w:type="dxa"/>
                  <w:vAlign w:val="center"/>
                </w:tcPr>
                <w:p w14:paraId="26B6FA77"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0.80</w:t>
                  </w:r>
                </w:p>
              </w:tc>
            </w:tr>
            <w:tr w:rsidR="00BB1411" w:rsidRPr="00ED08C3" w14:paraId="641A9796" w14:textId="77777777" w:rsidTr="00BB1411">
              <w:trPr>
                <w:trHeight w:val="274"/>
              </w:trPr>
              <w:tc>
                <w:tcPr>
                  <w:tcW w:w="3145" w:type="dxa"/>
                  <w:vAlign w:val="center"/>
                </w:tcPr>
                <w:p w14:paraId="0285C295" w14:textId="77777777" w:rsidR="00B61D85" w:rsidRPr="00ED08C3" w:rsidRDefault="00B61D85" w:rsidP="004B6BA5">
                  <w:pPr>
                    <w:framePr w:hSpace="180" w:wrap="around" w:vAnchor="page" w:hAnchor="margin" w:y="2581"/>
                    <w:rPr>
                      <w:rFonts w:eastAsia="Arial" w:cstheme="minorHAnsi"/>
                    </w:rPr>
                  </w:pPr>
                  <w:r w:rsidRPr="00ED08C3">
                    <w:rPr>
                      <w:rFonts w:cstheme="minorHAnsi"/>
                      <w:color w:val="000000" w:themeColor="text1"/>
                    </w:rPr>
                    <w:t xml:space="preserve">Filled anticoagulation prescription in 1 year prior </w:t>
                  </w:r>
                </w:p>
              </w:tc>
              <w:tc>
                <w:tcPr>
                  <w:tcW w:w="1296" w:type="dxa"/>
                  <w:vAlign w:val="center"/>
                </w:tcPr>
                <w:p w14:paraId="60867637"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275 (15.7%)</w:t>
                  </w:r>
                </w:p>
              </w:tc>
              <w:tc>
                <w:tcPr>
                  <w:tcW w:w="1296" w:type="dxa"/>
                  <w:vAlign w:val="center"/>
                </w:tcPr>
                <w:p w14:paraId="2171FCA4"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11 (11.1%)</w:t>
                  </w:r>
                </w:p>
              </w:tc>
              <w:tc>
                <w:tcPr>
                  <w:tcW w:w="1296" w:type="dxa"/>
                  <w:vAlign w:val="center"/>
                </w:tcPr>
                <w:p w14:paraId="2CF5F632"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264 (16.0%)</w:t>
                  </w:r>
                </w:p>
              </w:tc>
              <w:tc>
                <w:tcPr>
                  <w:tcW w:w="1296" w:type="dxa"/>
                  <w:vAlign w:val="center"/>
                </w:tcPr>
                <w:p w14:paraId="72F2B51A"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0.20</w:t>
                  </w:r>
                </w:p>
              </w:tc>
            </w:tr>
            <w:tr w:rsidR="00BB1411" w:rsidRPr="00ED08C3" w14:paraId="6A2C75A0" w14:textId="77777777" w:rsidTr="00BB1411">
              <w:trPr>
                <w:trHeight w:val="274"/>
              </w:trPr>
              <w:tc>
                <w:tcPr>
                  <w:tcW w:w="3145" w:type="dxa"/>
                  <w:vAlign w:val="center"/>
                </w:tcPr>
                <w:p w14:paraId="6B363A1E" w14:textId="77777777" w:rsidR="00B61D85" w:rsidRPr="00ED08C3" w:rsidRDefault="00B61D85" w:rsidP="004B6BA5">
                  <w:pPr>
                    <w:framePr w:hSpace="180" w:wrap="around" w:vAnchor="page" w:hAnchor="margin" w:y="2581"/>
                    <w:rPr>
                      <w:rFonts w:cstheme="minorHAnsi"/>
                      <w:color w:val="000000" w:themeColor="text1"/>
                    </w:rPr>
                  </w:pPr>
                  <w:r w:rsidRPr="00ED08C3">
                    <w:rPr>
                      <w:rFonts w:cstheme="minorHAnsi"/>
                      <w:color w:val="000000" w:themeColor="text1"/>
                    </w:rPr>
                    <w:t xml:space="preserve">Underwent thoracic surgery in 1 year prior </w:t>
                  </w:r>
                </w:p>
              </w:tc>
              <w:tc>
                <w:tcPr>
                  <w:tcW w:w="1296" w:type="dxa"/>
                  <w:vAlign w:val="center"/>
                </w:tcPr>
                <w:p w14:paraId="1A608EEE"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50 (2.9%)</w:t>
                  </w:r>
                </w:p>
              </w:tc>
              <w:tc>
                <w:tcPr>
                  <w:tcW w:w="1296" w:type="dxa"/>
                  <w:vAlign w:val="center"/>
                </w:tcPr>
                <w:p w14:paraId="05580805"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3 (3.0%)</w:t>
                  </w:r>
                </w:p>
              </w:tc>
              <w:tc>
                <w:tcPr>
                  <w:tcW w:w="1296" w:type="dxa"/>
                  <w:vAlign w:val="center"/>
                </w:tcPr>
                <w:p w14:paraId="1D386D34" w14:textId="77777777" w:rsidR="00B61D85" w:rsidRPr="00ED08C3" w:rsidRDefault="00B61D85" w:rsidP="004B6BA5">
                  <w:pPr>
                    <w:framePr w:hSpace="180" w:wrap="around" w:vAnchor="page" w:hAnchor="margin" w:y="2581"/>
                    <w:jc w:val="center"/>
                    <w:rPr>
                      <w:rFonts w:eastAsia="Arial" w:cstheme="minorHAnsi"/>
                    </w:rPr>
                  </w:pPr>
                  <w:r w:rsidRPr="00ED08C3">
                    <w:rPr>
                      <w:rFonts w:cstheme="minorHAnsi"/>
                      <w:color w:val="000000"/>
                    </w:rPr>
                    <w:t>47 (2.8%)</w:t>
                  </w:r>
                </w:p>
              </w:tc>
              <w:tc>
                <w:tcPr>
                  <w:tcW w:w="1296" w:type="dxa"/>
                  <w:vAlign w:val="center"/>
                </w:tcPr>
                <w:p w14:paraId="18C21F03"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0.80</w:t>
                  </w:r>
                </w:p>
              </w:tc>
            </w:tr>
          </w:tbl>
          <w:p w14:paraId="46A97C87" w14:textId="77777777" w:rsidR="00B61D85" w:rsidRPr="00ED08C3" w:rsidRDefault="00B61D85" w:rsidP="00B61D85">
            <w:pPr>
              <w:rPr>
                <w:rFonts w:cstheme="minorHAnsi"/>
              </w:rPr>
            </w:pPr>
          </w:p>
          <w:p w14:paraId="6F1B151E" w14:textId="77777777" w:rsidR="00B61D85" w:rsidRPr="00ED08C3" w:rsidRDefault="00B61D85" w:rsidP="00B61D85">
            <w:pPr>
              <w:rPr>
                <w:rFonts w:cstheme="minorHAnsi"/>
              </w:rPr>
            </w:pPr>
            <w:proofErr w:type="gramStart"/>
            <w:r w:rsidRPr="00ED08C3">
              <w:rPr>
                <w:rFonts w:cstheme="minorHAnsi"/>
                <w:vertAlign w:val="superscript"/>
              </w:rPr>
              <w:t>a</w:t>
            </w:r>
            <w:r w:rsidRPr="00ED08C3">
              <w:rPr>
                <w:rFonts w:cstheme="minorHAnsi"/>
              </w:rPr>
              <w:t xml:space="preserve"> COPS2</w:t>
            </w:r>
            <w:proofErr w:type="gramEnd"/>
            <w:r w:rsidRPr="00ED08C3">
              <w:rPr>
                <w:rFonts w:cstheme="minorHAnsi"/>
              </w:rPr>
              <w:t xml:space="preserve"> The </w:t>
            </w:r>
            <w:proofErr w:type="spellStart"/>
            <w:r w:rsidRPr="00ED08C3">
              <w:rPr>
                <w:rFonts w:cstheme="minorHAnsi"/>
              </w:rPr>
              <w:t>COmorbidity</w:t>
            </w:r>
            <w:proofErr w:type="spellEnd"/>
            <w:r w:rsidRPr="00ED08C3">
              <w:rPr>
                <w:rFonts w:cstheme="minorHAnsi"/>
              </w:rPr>
              <w:t xml:space="preserve"> Point Score, version 2 (COPS2, range, 0 to 1010, higher scores indicate increasing comorbidity burden) is assigned based on all diagnoses incurred by a patient in the 12 months preceding the index hospitalization. The univariate relationship of COPS2 with 30-day mortality is as follows: 0-39, 1.7%; 40-64, 5.2%; 65+, 9.0%.</w:t>
            </w:r>
            <w:r w:rsidRPr="00ED08C3">
              <w:rPr>
                <w:rFonts w:cstheme="minorHAnsi"/>
              </w:rPr>
              <w:fldChar w:fldCharType="begin">
                <w:fldData xml:space="preserve">PEVuZE5vdGU+PENpdGU+PEF1dGhvcj5Fc2NvYmFyPC9BdXRob3I+PFllYXI+MjAxMzwvWWVhcj48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</w:fldData>
              </w:fldChar>
            </w:r>
            <w:r w:rsidRPr="00ED08C3">
              <w:rPr>
                <w:rFonts w:cstheme="minorHAnsi"/>
              </w:rPr>
              <w:instrText xml:space="preserve"> ADDIN EN.JS.CITE </w:instrText>
            </w:r>
            <w:r w:rsidRPr="00ED08C3">
              <w:rPr>
                <w:rFonts w:cstheme="minorHAnsi"/>
              </w:rPr>
            </w:r>
            <w:r w:rsidRPr="00ED08C3">
              <w:rPr>
                <w:rFonts w:cstheme="minorHAnsi"/>
              </w:rPr>
              <w:fldChar w:fldCharType="separate"/>
            </w:r>
            <w:r w:rsidRPr="00ED08C3">
              <w:rPr>
                <w:rFonts w:cstheme="minorHAnsi"/>
                <w:noProof/>
                <w:vertAlign w:val="superscript"/>
              </w:rPr>
              <w:t>10</w:t>
            </w:r>
            <w:r w:rsidRPr="00ED08C3">
              <w:rPr>
                <w:rFonts w:cstheme="minorHAnsi"/>
              </w:rPr>
              <w:fldChar w:fldCharType="end"/>
            </w:r>
            <w:r w:rsidRPr="00ED08C3">
              <w:rPr>
                <w:rFonts w:cstheme="minorHAnsi"/>
              </w:rPr>
              <w:t xml:space="preserve"> </w:t>
            </w:r>
          </w:p>
          <w:p w14:paraId="7D060413" w14:textId="77777777" w:rsidR="00B61D85" w:rsidRPr="00ED08C3" w:rsidRDefault="00B61D85" w:rsidP="00B61D85">
            <w:pPr>
              <w:rPr>
                <w:rFonts w:cstheme="minorHAnsi"/>
              </w:rPr>
            </w:pPr>
          </w:p>
          <w:p w14:paraId="6AD7478F" w14:textId="77777777" w:rsidR="00B61D85" w:rsidRPr="00ED08C3" w:rsidRDefault="00B61D85" w:rsidP="00B61D85">
            <w:pPr>
              <w:pStyle w:val="CommentText"/>
              <w:rPr>
                <w:rFonts w:asciiTheme="minorHAnsi" w:hAnsiTheme="minorHAnsi" w:cstheme="minorHAnsi"/>
                <w:sz w:val="22"/>
                <w:szCs w:val="22"/>
              </w:rPr>
            </w:pPr>
            <w:r w:rsidRPr="00ED08C3">
              <w:rPr>
                <w:rFonts w:asciiTheme="minorHAnsi" w:hAnsiTheme="minorHAnsi" w:cstheme="minorHAnsi"/>
                <w:sz w:val="22"/>
                <w:szCs w:val="22"/>
                <w:vertAlign w:val="superscript"/>
              </w:rPr>
              <w:t>b</w:t>
            </w:r>
            <w:r w:rsidRPr="00ED08C3">
              <w:rPr>
                <w:rFonts w:asciiTheme="minorHAnsi" w:hAnsiTheme="minorHAnsi" w:cstheme="minorHAnsi"/>
                <w:sz w:val="22"/>
                <w:szCs w:val="22"/>
              </w:rPr>
              <w:t xml:space="preserve"> LAPS2 The Laboratory-based Acute Physiology Score, version 2 (LAPS2, range, 0 to 414, higher scores indicating increasing physiologic derangement) is assigned based on a patient’s worst vital signs, pulse oximetry, neurological status, and 16 laboratory test results in the preceding 24 (hourly and discharge LAPS2) or 72 hours (admission LAPS2). The univariate relationship of an admission LAPS2 with 30-day mortality is as follows: 0-59, 1.0%; 60-109, 5.0%; 110+, 13.7%.</w:t>
            </w:r>
            <w:r w:rsidRPr="00ED08C3">
              <w:rPr>
                <w:rFonts w:asciiTheme="minorHAnsi" w:hAnsiTheme="minorHAnsi" w:cstheme="minorHAnsi"/>
                <w:sz w:val="22"/>
                <w:szCs w:val="22"/>
              </w:rPr>
              <w:fldChar w:fldCharType="begin">
                <w:fldData xml:space="preserve">PEVuZE5vdGU+PENpdGU+PEF1dGhvcj5Fc2NvYmFyPC9BdXRob3I+PFllYXI+MjAxMzwvWWVhcj48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</w:fldData>
              </w:fldChar>
            </w:r>
            <w:r w:rsidRPr="00ED08C3">
              <w:rPr>
                <w:rFonts w:asciiTheme="minorHAnsi" w:hAnsiTheme="minorHAnsi" w:cstheme="minorHAnsi"/>
                <w:sz w:val="22"/>
                <w:szCs w:val="22"/>
              </w:rPr>
              <w:instrText xml:space="preserve"> ADDIN EN.JS.CITE </w:instrText>
            </w:r>
            <w:r w:rsidRPr="00ED08C3">
              <w:rPr>
                <w:rFonts w:asciiTheme="minorHAnsi" w:hAnsiTheme="minorHAnsi" w:cstheme="minorHAnsi"/>
                <w:sz w:val="22"/>
                <w:szCs w:val="22"/>
              </w:rPr>
            </w:r>
            <w:r w:rsidRPr="00ED08C3">
              <w:rPr>
                <w:rFonts w:asciiTheme="minorHAnsi" w:hAnsiTheme="minorHAnsi" w:cstheme="minorHAnsi"/>
                <w:sz w:val="22"/>
                <w:szCs w:val="22"/>
              </w:rPr>
              <w:fldChar w:fldCharType="separate"/>
            </w:r>
            <w:r w:rsidRPr="00ED08C3">
              <w:rPr>
                <w:rFonts w:asciiTheme="minorHAnsi" w:hAnsiTheme="minorHAnsi" w:cstheme="minorHAnsi"/>
                <w:noProof/>
                <w:sz w:val="22"/>
                <w:szCs w:val="22"/>
                <w:vertAlign w:val="superscript"/>
              </w:rPr>
              <w:t>10</w:t>
            </w:r>
            <w:r w:rsidRPr="00ED08C3">
              <w:rPr>
                <w:rFonts w:asciiTheme="minorHAnsi" w:hAnsiTheme="minorHAnsi" w:cstheme="minorHAnsi"/>
                <w:sz w:val="22"/>
                <w:szCs w:val="22"/>
              </w:rPr>
              <w:fldChar w:fldCharType="end"/>
            </w:r>
            <w:r w:rsidRPr="00ED08C3">
              <w:rPr>
                <w:rFonts w:asciiTheme="minorHAnsi" w:hAnsiTheme="minorHAnsi" w:cstheme="minorHAnsi"/>
                <w:sz w:val="22"/>
                <w:szCs w:val="22"/>
              </w:rPr>
              <w:t xml:space="preserve"> </w:t>
            </w:r>
          </w:p>
          <w:p w14:paraId="5FE12020" w14:textId="77777777" w:rsidR="00B61D85" w:rsidRPr="00ED08C3" w:rsidRDefault="00B61D85" w:rsidP="00B61D85">
            <w:pPr>
              <w:rPr>
                <w:rFonts w:cstheme="minorHAnsi"/>
                <w:b/>
                <w:bCs/>
              </w:rPr>
            </w:pPr>
            <w:r w:rsidRPr="00ED08C3">
              <w:rPr>
                <w:rFonts w:cstheme="minorHAnsi"/>
                <w:b/>
                <w:bCs/>
              </w:rPr>
              <w:br w:type="page"/>
            </w:r>
          </w:p>
          <w:p w14:paraId="5A9A4A1C" w14:textId="77777777" w:rsidR="00B61D85" w:rsidRPr="00ED08C3" w:rsidRDefault="00B61D85" w:rsidP="00B61D85">
            <w:pPr>
              <w:rPr>
                <w:rFonts w:cstheme="minorHAnsi"/>
                <w:b/>
                <w:bCs/>
              </w:rPr>
            </w:pPr>
            <w:r w:rsidRPr="00ED08C3">
              <w:rPr>
                <w:rFonts w:cstheme="minorHAnsi"/>
                <w:b/>
                <w:bCs/>
              </w:rPr>
              <w:t>Table 2. Outcomes related to dosing of intrapleural thrombolytic therapy where the exposure is MIST-2-concordant dosing</w:t>
            </w:r>
          </w:p>
          <w:tbl>
            <w:tblPr>
              <w:tblStyle w:val="TableGrid"/>
              <w:tblW w:w="8455" w:type="dxa"/>
              <w:tblLayout w:type="fixed"/>
              <w:tblLook w:val="06A0" w:firstRow="1" w:lastRow="0" w:firstColumn="1" w:lastColumn="0" w:noHBand="1" w:noVBand="1"/>
            </w:tblPr>
            <w:tblGrid>
              <w:gridCol w:w="2965"/>
              <w:gridCol w:w="2070"/>
              <w:gridCol w:w="2160"/>
              <w:gridCol w:w="1260"/>
            </w:tblGrid>
            <w:tr w:rsidR="00B61D85" w:rsidRPr="00ED08C3" w14:paraId="6E1E4643" w14:textId="77777777" w:rsidTr="00CB5D72">
              <w:trPr>
                <w:trHeight w:val="300"/>
              </w:trPr>
              <w:tc>
                <w:tcPr>
                  <w:tcW w:w="2965" w:type="dxa"/>
                  <w:vAlign w:val="center"/>
                </w:tcPr>
                <w:p w14:paraId="6C19EFE2" w14:textId="77777777" w:rsidR="00B61D85" w:rsidRPr="00ED08C3" w:rsidRDefault="00B61D85" w:rsidP="004B6BA5">
                  <w:pPr>
                    <w:framePr w:hSpace="180" w:wrap="around" w:vAnchor="page" w:hAnchor="margin" w:y="2581"/>
                    <w:rPr>
                      <w:rFonts w:eastAsia="Arial" w:cstheme="minorHAnsi"/>
                      <w:b/>
                    </w:rPr>
                  </w:pPr>
                  <w:r w:rsidRPr="00ED08C3">
                    <w:rPr>
                      <w:rFonts w:eastAsia="Arial" w:cstheme="minorHAnsi"/>
                      <w:b/>
                    </w:rPr>
                    <w:t>Outcome</w:t>
                  </w:r>
                </w:p>
              </w:tc>
              <w:tc>
                <w:tcPr>
                  <w:tcW w:w="2070" w:type="dxa"/>
                  <w:vAlign w:val="center"/>
                </w:tcPr>
                <w:p w14:paraId="3A149787" w14:textId="77777777" w:rsidR="00B61D85" w:rsidRPr="00ED08C3" w:rsidRDefault="00B61D85" w:rsidP="004B6BA5">
                  <w:pPr>
                    <w:framePr w:hSpace="180" w:wrap="around" w:vAnchor="page" w:hAnchor="margin" w:y="2581"/>
                    <w:rPr>
                      <w:rFonts w:eastAsia="Arial" w:cstheme="minorHAnsi"/>
                      <w:b/>
                    </w:rPr>
                  </w:pPr>
                  <w:r w:rsidRPr="00ED08C3">
                    <w:rPr>
                      <w:rFonts w:eastAsia="Arial" w:cstheme="minorHAnsi"/>
                      <w:b/>
                    </w:rPr>
                    <w:t>Effect Estimate</w:t>
                  </w:r>
                </w:p>
              </w:tc>
              <w:tc>
                <w:tcPr>
                  <w:tcW w:w="2160" w:type="dxa"/>
                  <w:vAlign w:val="center"/>
                </w:tcPr>
                <w:p w14:paraId="4305FB92" w14:textId="77777777" w:rsidR="00B61D85" w:rsidRPr="00ED08C3" w:rsidRDefault="00B61D85" w:rsidP="004B6BA5">
                  <w:pPr>
                    <w:framePr w:hSpace="180" w:wrap="around" w:vAnchor="page" w:hAnchor="margin" w:y="2581"/>
                    <w:rPr>
                      <w:rFonts w:eastAsia="Arial" w:cstheme="minorHAnsi"/>
                      <w:b/>
                    </w:rPr>
                  </w:pPr>
                  <w:r w:rsidRPr="00ED08C3">
                    <w:rPr>
                      <w:rFonts w:eastAsia="Arial" w:cstheme="minorHAnsi"/>
                      <w:b/>
                    </w:rPr>
                    <w:t>95% Confidence Interval</w:t>
                  </w:r>
                </w:p>
              </w:tc>
              <w:tc>
                <w:tcPr>
                  <w:tcW w:w="1260" w:type="dxa"/>
                  <w:vAlign w:val="center"/>
                </w:tcPr>
                <w:p w14:paraId="5790EE99" w14:textId="77777777" w:rsidR="00B61D85" w:rsidRPr="00ED08C3" w:rsidRDefault="00B61D85" w:rsidP="004B6BA5">
                  <w:pPr>
                    <w:framePr w:hSpace="180" w:wrap="around" w:vAnchor="page" w:hAnchor="margin" w:y="2581"/>
                    <w:rPr>
                      <w:rFonts w:eastAsia="Arial" w:cstheme="minorHAnsi"/>
                      <w:b/>
                    </w:rPr>
                  </w:pPr>
                  <w:r w:rsidRPr="00ED08C3">
                    <w:rPr>
                      <w:rFonts w:eastAsia="Arial" w:cstheme="minorHAnsi"/>
                      <w:b/>
                      <w:i/>
                      <w:iCs/>
                    </w:rPr>
                    <w:t>P</w:t>
                  </w:r>
                  <w:r w:rsidRPr="00ED08C3">
                    <w:rPr>
                      <w:rFonts w:eastAsia="Arial" w:cstheme="minorHAnsi"/>
                      <w:b/>
                    </w:rPr>
                    <w:t xml:space="preserve"> Value</w:t>
                  </w:r>
                </w:p>
              </w:tc>
            </w:tr>
            <w:tr w:rsidR="00B61D85" w:rsidRPr="00ED08C3" w14:paraId="335B5A05" w14:textId="77777777" w:rsidTr="00CB5D72">
              <w:trPr>
                <w:trHeight w:val="300"/>
              </w:trPr>
              <w:tc>
                <w:tcPr>
                  <w:tcW w:w="2965" w:type="dxa"/>
                </w:tcPr>
                <w:p w14:paraId="1A7A5AA6" w14:textId="77777777" w:rsidR="00B61D85" w:rsidRPr="00ED08C3" w:rsidRDefault="00B61D85" w:rsidP="004B6BA5">
                  <w:pPr>
                    <w:framePr w:hSpace="180" w:wrap="around" w:vAnchor="page" w:hAnchor="margin" w:y="2581"/>
                    <w:rPr>
                      <w:rFonts w:eastAsia="Arial" w:cstheme="minorHAnsi"/>
                      <w:b/>
                      <w:bCs/>
                      <w:i/>
                      <w:iCs/>
                    </w:rPr>
                  </w:pPr>
                  <w:r w:rsidRPr="00ED08C3">
                    <w:rPr>
                      <w:rFonts w:eastAsia="Arial" w:cstheme="minorHAnsi"/>
                      <w:b/>
                      <w:bCs/>
                      <w:i/>
                      <w:iCs/>
                    </w:rPr>
                    <w:t>Primary analysis</w:t>
                  </w:r>
                </w:p>
                <w:p w14:paraId="62F451C4"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lastRenderedPageBreak/>
                    <w:t>Treatment escalation or bleeding (accounting for death as competing risk)</w:t>
                  </w:r>
                </w:p>
              </w:tc>
              <w:tc>
                <w:tcPr>
                  <w:tcW w:w="2070" w:type="dxa"/>
                  <w:vAlign w:val="center"/>
                </w:tcPr>
                <w:p w14:paraId="51F1C6A3"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lastRenderedPageBreak/>
                    <w:t>HR 0.61</w:t>
                  </w:r>
                </w:p>
              </w:tc>
              <w:tc>
                <w:tcPr>
                  <w:tcW w:w="2160" w:type="dxa"/>
                  <w:vAlign w:val="center"/>
                </w:tcPr>
                <w:p w14:paraId="435E2D69"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95% CI 0.43</w:t>
                  </w:r>
                  <w:r w:rsidRPr="00ED08C3" w:rsidDel="6825BD61">
                    <w:rPr>
                      <w:rFonts w:eastAsia="Arial" w:cstheme="minorHAnsi"/>
                    </w:rPr>
                    <w:t>,</w:t>
                  </w:r>
                  <w:r w:rsidRPr="00ED08C3">
                    <w:rPr>
                      <w:rFonts w:eastAsia="Arial" w:cstheme="minorHAnsi"/>
                    </w:rPr>
                    <w:t xml:space="preserve"> 0.88</w:t>
                  </w:r>
                </w:p>
              </w:tc>
              <w:tc>
                <w:tcPr>
                  <w:tcW w:w="1260" w:type="dxa"/>
                  <w:vAlign w:val="center"/>
                </w:tcPr>
                <w:p w14:paraId="0F00F8F4"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i/>
                      <w:iCs/>
                    </w:rPr>
                    <w:t>P</w:t>
                  </w:r>
                  <w:r w:rsidRPr="00ED08C3">
                    <w:rPr>
                      <w:rFonts w:eastAsia="Arial" w:cstheme="minorHAnsi"/>
                    </w:rPr>
                    <w:t>=0.009</w:t>
                  </w:r>
                </w:p>
              </w:tc>
            </w:tr>
            <w:tr w:rsidR="00B61D85" w:rsidRPr="00ED08C3" w14:paraId="4FCAF366" w14:textId="77777777" w:rsidTr="00CB5D72">
              <w:trPr>
                <w:trHeight w:val="300"/>
              </w:trPr>
              <w:tc>
                <w:tcPr>
                  <w:tcW w:w="2965" w:type="dxa"/>
                </w:tcPr>
                <w:p w14:paraId="52994031"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Length of stay</w:t>
                  </w:r>
                  <w:r w:rsidRPr="00ED08C3" w:rsidDel="4136F538">
                    <w:rPr>
                      <w:rFonts w:eastAsia="Arial" w:cstheme="minorHAnsi"/>
                    </w:rPr>
                    <w:t>,</w:t>
                  </w:r>
                  <w:r w:rsidRPr="00ED08C3">
                    <w:rPr>
                      <w:rFonts w:eastAsia="Arial" w:cstheme="minorHAnsi"/>
                    </w:rPr>
                    <w:t xml:space="preserve"> days</w:t>
                  </w:r>
                </w:p>
              </w:tc>
              <w:tc>
                <w:tcPr>
                  <w:tcW w:w="2070" w:type="dxa"/>
                  <w:vAlign w:val="center"/>
                </w:tcPr>
                <w:p w14:paraId="5C40717D"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2.01 days shorter (15% reduction)</w:t>
                  </w:r>
                </w:p>
              </w:tc>
              <w:tc>
                <w:tcPr>
                  <w:tcW w:w="2160" w:type="dxa"/>
                  <w:vAlign w:val="center"/>
                </w:tcPr>
                <w:p w14:paraId="2F4EB283"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95% CI 5%-23%</w:t>
                  </w:r>
                </w:p>
              </w:tc>
              <w:tc>
                <w:tcPr>
                  <w:tcW w:w="1260" w:type="dxa"/>
                  <w:vAlign w:val="center"/>
                </w:tcPr>
                <w:p w14:paraId="792306DB"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i/>
                      <w:iCs/>
                    </w:rPr>
                    <w:t>P</w:t>
                  </w:r>
                  <w:r w:rsidRPr="00ED08C3">
                    <w:rPr>
                      <w:rFonts w:eastAsia="Arial" w:cstheme="minorHAnsi"/>
                    </w:rPr>
                    <w:t>=0.003</w:t>
                  </w:r>
                </w:p>
              </w:tc>
            </w:tr>
            <w:tr w:rsidR="00B61D85" w:rsidRPr="00ED08C3" w14:paraId="0D007FB6" w14:textId="77777777" w:rsidTr="00CB5D72">
              <w:trPr>
                <w:trHeight w:val="300"/>
              </w:trPr>
              <w:tc>
                <w:tcPr>
                  <w:tcW w:w="2965" w:type="dxa"/>
                </w:tcPr>
                <w:p w14:paraId="37E86300"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Mortality</w:t>
                  </w:r>
                </w:p>
              </w:tc>
              <w:tc>
                <w:tcPr>
                  <w:tcW w:w="2070" w:type="dxa"/>
                  <w:vAlign w:val="center"/>
                </w:tcPr>
                <w:p w14:paraId="692AD3C2"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HR 0.60</w:t>
                  </w:r>
                </w:p>
              </w:tc>
              <w:tc>
                <w:tcPr>
                  <w:tcW w:w="2160" w:type="dxa"/>
                  <w:vAlign w:val="center"/>
                </w:tcPr>
                <w:p w14:paraId="2B0AB4BC"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95% CI 0.17-2.06</w:t>
                  </w:r>
                </w:p>
              </w:tc>
              <w:tc>
                <w:tcPr>
                  <w:tcW w:w="1260" w:type="dxa"/>
                  <w:vAlign w:val="center"/>
                </w:tcPr>
                <w:p w14:paraId="54C4626B"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i/>
                      <w:iCs/>
                    </w:rPr>
                    <w:t>P</w:t>
                  </w:r>
                  <w:r w:rsidRPr="00ED08C3">
                    <w:rPr>
                      <w:rFonts w:eastAsia="Arial" w:cstheme="minorHAnsi"/>
                    </w:rPr>
                    <w:t>=0.41</w:t>
                  </w:r>
                </w:p>
              </w:tc>
            </w:tr>
            <w:tr w:rsidR="00B61D85" w:rsidRPr="00ED08C3" w14:paraId="0C1385C2" w14:textId="77777777" w:rsidTr="00CB5D72">
              <w:trPr>
                <w:trHeight w:val="300"/>
              </w:trPr>
              <w:tc>
                <w:tcPr>
                  <w:tcW w:w="2965" w:type="dxa"/>
                </w:tcPr>
                <w:p w14:paraId="67301E9D" w14:textId="77777777" w:rsidR="00B61D85" w:rsidRPr="00ED08C3" w:rsidRDefault="00B61D85" w:rsidP="004B6BA5">
                  <w:pPr>
                    <w:framePr w:hSpace="180" w:wrap="around" w:vAnchor="page" w:hAnchor="margin" w:y="2581"/>
                    <w:rPr>
                      <w:rFonts w:eastAsia="Arial" w:cstheme="minorHAnsi"/>
                    </w:rPr>
                  </w:pPr>
                  <w:r w:rsidRPr="00ED08C3">
                    <w:rPr>
                      <w:rFonts w:eastAsia="Arial" w:cstheme="minorHAnsi"/>
                    </w:rPr>
                    <w:t xml:space="preserve">Treatment escalation alone </w:t>
                  </w:r>
                </w:p>
              </w:tc>
              <w:tc>
                <w:tcPr>
                  <w:tcW w:w="2070" w:type="dxa"/>
                  <w:vAlign w:val="center"/>
                </w:tcPr>
                <w:p w14:paraId="3C136166"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HR 0.64</w:t>
                  </w:r>
                </w:p>
              </w:tc>
              <w:tc>
                <w:tcPr>
                  <w:tcW w:w="2160" w:type="dxa"/>
                  <w:vAlign w:val="center"/>
                </w:tcPr>
                <w:p w14:paraId="4E8C6344"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rPr>
                    <w:t>95% CI 0.41</w:t>
                  </w:r>
                  <w:r w:rsidRPr="00ED08C3" w:rsidDel="6825BD61">
                    <w:rPr>
                      <w:rFonts w:eastAsia="Arial" w:cstheme="minorHAnsi"/>
                    </w:rPr>
                    <w:t>,</w:t>
                  </w:r>
                  <w:r w:rsidRPr="00ED08C3">
                    <w:rPr>
                      <w:rFonts w:eastAsia="Arial" w:cstheme="minorHAnsi"/>
                    </w:rPr>
                    <w:t xml:space="preserve"> 0.99</w:t>
                  </w:r>
                </w:p>
              </w:tc>
              <w:tc>
                <w:tcPr>
                  <w:tcW w:w="1260" w:type="dxa"/>
                  <w:vAlign w:val="center"/>
                </w:tcPr>
                <w:p w14:paraId="7AC9000A" w14:textId="77777777" w:rsidR="00B61D85" w:rsidRPr="00ED08C3" w:rsidRDefault="00B61D85" w:rsidP="004B6BA5">
                  <w:pPr>
                    <w:framePr w:hSpace="180" w:wrap="around" w:vAnchor="page" w:hAnchor="margin" w:y="2581"/>
                    <w:jc w:val="center"/>
                    <w:rPr>
                      <w:rFonts w:eastAsia="Arial" w:cstheme="minorHAnsi"/>
                    </w:rPr>
                  </w:pPr>
                  <w:r w:rsidRPr="00ED08C3">
                    <w:rPr>
                      <w:rFonts w:eastAsia="Arial" w:cstheme="minorHAnsi"/>
                      <w:i/>
                      <w:iCs/>
                    </w:rPr>
                    <w:t>P</w:t>
                  </w:r>
                  <w:r w:rsidRPr="00ED08C3">
                    <w:rPr>
                      <w:rFonts w:eastAsia="Arial" w:cstheme="minorHAnsi"/>
                    </w:rPr>
                    <w:t>=0.04</w:t>
                  </w:r>
                </w:p>
              </w:tc>
            </w:tr>
          </w:tbl>
          <w:p w14:paraId="63FF1C58" w14:textId="77777777" w:rsidR="00B61D85" w:rsidRPr="00ED08C3" w:rsidRDefault="00B61D85" w:rsidP="00B61D85">
            <w:pPr>
              <w:rPr>
                <w:rFonts w:cstheme="minorHAnsi"/>
                <w:b/>
                <w:bCs/>
              </w:rPr>
            </w:pPr>
          </w:p>
          <w:p w14:paraId="4CEF5700" w14:textId="77777777" w:rsidR="00B61D85" w:rsidRPr="00ED08C3" w:rsidRDefault="00B61D85" w:rsidP="00B61D85">
            <w:pPr>
              <w:rPr>
                <w:rFonts w:cstheme="minorHAnsi"/>
              </w:rPr>
            </w:pPr>
            <w:r w:rsidRPr="00ED08C3">
              <w:rPr>
                <w:rFonts w:cstheme="minorHAnsi"/>
              </w:rPr>
              <w:t xml:space="preserve">HR=Hazard Ratio </w:t>
            </w:r>
          </w:p>
          <w:p w14:paraId="1D17D2B4" w14:textId="77777777" w:rsidR="00D470A8" w:rsidRPr="00ED08C3" w:rsidRDefault="00B61D85" w:rsidP="00D470A8">
            <w:pPr>
              <w:rPr>
                <w:rFonts w:cstheme="minorHAnsi"/>
                <w:b/>
                <w:bCs/>
              </w:rPr>
            </w:pPr>
            <w:r w:rsidRPr="00ED08C3">
              <w:rPr>
                <w:rFonts w:cstheme="minorHAnsi"/>
                <w:b/>
                <w:bCs/>
              </w:rPr>
              <w:br w:type="page"/>
            </w:r>
          </w:p>
          <w:p w14:paraId="7CD11B49" w14:textId="77777777" w:rsidR="00D470A8" w:rsidRPr="00ED08C3" w:rsidRDefault="00D470A8" w:rsidP="00D470A8">
            <w:pPr>
              <w:rPr>
                <w:rFonts w:cstheme="minorHAnsi"/>
                <w:b/>
                <w:bCs/>
              </w:rPr>
            </w:pPr>
          </w:p>
          <w:p w14:paraId="13F49283" w14:textId="3163ED7C" w:rsidR="0004749A" w:rsidRPr="00ED08C3" w:rsidRDefault="0004749A" w:rsidP="00D470A8">
            <w:pPr>
              <w:rPr>
                <w:rFonts w:cstheme="minorHAnsi"/>
                <w:b/>
                <w:bCs/>
              </w:rPr>
            </w:pPr>
            <w:r w:rsidRPr="00ED08C3">
              <w:rPr>
                <w:rFonts w:cstheme="minorHAnsi"/>
              </w:rPr>
              <w:t>References</w:t>
            </w:r>
          </w:p>
          <w:p w14:paraId="5C8A46E4" w14:textId="77777777" w:rsidR="00945AA2" w:rsidRPr="00ED08C3" w:rsidRDefault="00945AA2" w:rsidP="00945AA2">
            <w:pPr>
              <w:rPr>
                <w:rFonts w:cstheme="minorHAnsi"/>
              </w:rPr>
            </w:pPr>
            <w:r w:rsidRPr="00ED08C3">
              <w:rPr>
                <w:rFonts w:cstheme="minorHAnsi"/>
              </w:rPr>
              <w:t>1.</w:t>
            </w:r>
            <w:r w:rsidRPr="00ED08C3">
              <w:rPr>
                <w:rFonts w:cstheme="minorHAnsi"/>
              </w:rPr>
              <w:tab/>
            </w:r>
            <w:proofErr w:type="spellStart"/>
            <w:r w:rsidRPr="00ED08C3">
              <w:rPr>
                <w:rFonts w:cstheme="minorHAnsi"/>
              </w:rPr>
              <w:t>Semenkovich</w:t>
            </w:r>
            <w:proofErr w:type="spellEnd"/>
            <w:r w:rsidRPr="00ED08C3">
              <w:rPr>
                <w:rFonts w:cstheme="minorHAnsi"/>
              </w:rPr>
              <w:t xml:space="preserve"> TR, Olsen MA, Puri V, Meyers BF, </w:t>
            </w:r>
            <w:proofErr w:type="spellStart"/>
            <w:r w:rsidRPr="00ED08C3">
              <w:rPr>
                <w:rFonts w:cstheme="minorHAnsi"/>
              </w:rPr>
              <w:t>Kozower</w:t>
            </w:r>
            <w:proofErr w:type="spellEnd"/>
            <w:r w:rsidRPr="00ED08C3">
              <w:rPr>
                <w:rFonts w:cstheme="minorHAnsi"/>
              </w:rPr>
              <w:t xml:space="preserve"> BD. Current State of Empyema Management. Ann Thorac Surg. Jun 2018;105(6):1589-1596. </w:t>
            </w:r>
            <w:proofErr w:type="gramStart"/>
            <w:r w:rsidRPr="00ED08C3">
              <w:rPr>
                <w:rFonts w:cstheme="minorHAnsi"/>
              </w:rPr>
              <w:t>doi:10.1016/j.athoracsur</w:t>
            </w:r>
            <w:proofErr w:type="gramEnd"/>
            <w:r w:rsidRPr="00ED08C3">
              <w:rPr>
                <w:rFonts w:cstheme="minorHAnsi"/>
              </w:rPr>
              <w:t>.2018.02.027</w:t>
            </w:r>
          </w:p>
          <w:p w14:paraId="3FCE7D3B" w14:textId="77777777" w:rsidR="00945AA2" w:rsidRPr="00ED08C3" w:rsidRDefault="00945AA2" w:rsidP="00945AA2">
            <w:pPr>
              <w:rPr>
                <w:rFonts w:cstheme="minorHAnsi"/>
              </w:rPr>
            </w:pPr>
            <w:r w:rsidRPr="00ED08C3">
              <w:rPr>
                <w:rFonts w:cstheme="minorHAnsi"/>
              </w:rPr>
              <w:t>2.</w:t>
            </w:r>
            <w:r w:rsidRPr="00ED08C3">
              <w:rPr>
                <w:rFonts w:cstheme="minorHAnsi"/>
              </w:rPr>
              <w:tab/>
              <w:t>Rahman NM, Maskell NA, West A, et al. Intrapleural use of tissue plasminogen activator and DNase in pleural infection. N Engl J Med. Aug 11</w:t>
            </w:r>
            <w:proofErr w:type="gramStart"/>
            <w:r w:rsidRPr="00ED08C3">
              <w:rPr>
                <w:rFonts w:cstheme="minorHAnsi"/>
              </w:rPr>
              <w:t xml:space="preserve"> 2011</w:t>
            </w:r>
            <w:proofErr w:type="gramEnd"/>
            <w:r w:rsidRPr="00ED08C3">
              <w:rPr>
                <w:rFonts w:cstheme="minorHAnsi"/>
              </w:rPr>
              <w:t>;365(6):518-26. doi:10.1056/NEJMoa1012740</w:t>
            </w:r>
          </w:p>
          <w:p w14:paraId="6FA7298E" w14:textId="77777777" w:rsidR="00945AA2" w:rsidRPr="00ED08C3" w:rsidRDefault="00945AA2" w:rsidP="00945AA2">
            <w:pPr>
              <w:rPr>
                <w:rFonts w:cstheme="minorHAnsi"/>
              </w:rPr>
            </w:pPr>
            <w:r w:rsidRPr="00ED08C3">
              <w:rPr>
                <w:rFonts w:cstheme="minorHAnsi"/>
              </w:rPr>
              <w:t>3.</w:t>
            </w:r>
            <w:r w:rsidRPr="00ED08C3">
              <w:rPr>
                <w:rFonts w:cstheme="minorHAnsi"/>
              </w:rPr>
              <w:tab/>
              <w:t xml:space="preserve">Light RW. Parapneumonic effusions and empyema. Proc Am </w:t>
            </w:r>
            <w:proofErr w:type="spellStart"/>
            <w:r w:rsidRPr="00ED08C3">
              <w:rPr>
                <w:rFonts w:cstheme="minorHAnsi"/>
              </w:rPr>
              <w:t>Thorac</w:t>
            </w:r>
            <w:proofErr w:type="spellEnd"/>
            <w:r w:rsidRPr="00ED08C3">
              <w:rPr>
                <w:rFonts w:cstheme="minorHAnsi"/>
              </w:rPr>
              <w:t xml:space="preserve"> Soc. 2006;3(1):75-80. doi:10.1513/pats.200510-113JH</w:t>
            </w:r>
          </w:p>
          <w:p w14:paraId="7AF226B7" w14:textId="77777777" w:rsidR="00945AA2" w:rsidRPr="00ED08C3" w:rsidRDefault="00945AA2" w:rsidP="00945AA2">
            <w:pPr>
              <w:rPr>
                <w:rFonts w:cstheme="minorHAnsi"/>
              </w:rPr>
            </w:pPr>
            <w:r w:rsidRPr="00ED08C3">
              <w:rPr>
                <w:rFonts w:cstheme="minorHAnsi"/>
              </w:rPr>
              <w:t>4.</w:t>
            </w:r>
            <w:r w:rsidRPr="00ED08C3">
              <w:rPr>
                <w:rFonts w:cstheme="minorHAnsi"/>
              </w:rPr>
              <w:tab/>
            </w:r>
            <w:proofErr w:type="spellStart"/>
            <w:r w:rsidRPr="00ED08C3">
              <w:rPr>
                <w:rFonts w:cstheme="minorHAnsi"/>
              </w:rPr>
              <w:t>Farjah</w:t>
            </w:r>
            <w:proofErr w:type="spellEnd"/>
            <w:r w:rsidRPr="00ED08C3">
              <w:rPr>
                <w:rFonts w:cstheme="minorHAnsi"/>
              </w:rPr>
              <w:t xml:space="preserve"> F, Symons RG, Krishnadasan B, Wood DE, Flum DR. Management of pleural space infections: a population-based analysis. J </w:t>
            </w:r>
            <w:proofErr w:type="spellStart"/>
            <w:r w:rsidRPr="00ED08C3">
              <w:rPr>
                <w:rFonts w:cstheme="minorHAnsi"/>
              </w:rPr>
              <w:t>Thorac</w:t>
            </w:r>
            <w:proofErr w:type="spellEnd"/>
            <w:r w:rsidRPr="00ED08C3">
              <w:rPr>
                <w:rFonts w:cstheme="minorHAnsi"/>
              </w:rPr>
              <w:t xml:space="preserve"> Cardiovasc Surg. Feb 2007;133(2):346-51. </w:t>
            </w:r>
            <w:proofErr w:type="gramStart"/>
            <w:r w:rsidRPr="00ED08C3">
              <w:rPr>
                <w:rFonts w:cstheme="minorHAnsi"/>
              </w:rPr>
              <w:t>doi:10.1016/j.jtcvs</w:t>
            </w:r>
            <w:proofErr w:type="gramEnd"/>
            <w:r w:rsidRPr="00ED08C3">
              <w:rPr>
                <w:rFonts w:cstheme="minorHAnsi"/>
              </w:rPr>
              <w:t>.2006.09.038</w:t>
            </w:r>
          </w:p>
          <w:p w14:paraId="36C43DAE" w14:textId="77777777" w:rsidR="00945AA2" w:rsidRPr="00ED08C3" w:rsidRDefault="00945AA2" w:rsidP="00945AA2">
            <w:pPr>
              <w:rPr>
                <w:rFonts w:cstheme="minorHAnsi"/>
              </w:rPr>
            </w:pPr>
            <w:r w:rsidRPr="00ED08C3">
              <w:rPr>
                <w:rFonts w:cstheme="minorHAnsi"/>
              </w:rPr>
              <w:t>5.</w:t>
            </w:r>
            <w:r w:rsidRPr="00ED08C3">
              <w:rPr>
                <w:rFonts w:cstheme="minorHAnsi"/>
              </w:rPr>
              <w:tab/>
              <w:t xml:space="preserve">Chong WH, Saha BK, </w:t>
            </w:r>
            <w:proofErr w:type="spellStart"/>
            <w:r w:rsidRPr="00ED08C3">
              <w:rPr>
                <w:rFonts w:cstheme="minorHAnsi"/>
              </w:rPr>
              <w:t>Conuel</w:t>
            </w:r>
            <w:proofErr w:type="spellEnd"/>
            <w:r w:rsidRPr="00ED08C3">
              <w:rPr>
                <w:rFonts w:cstheme="minorHAnsi"/>
              </w:rPr>
              <w:t xml:space="preserve"> E, Chopra A. The incidence of pleural effusion in COVID-19 pneumonia: State-of-the-art review. Heart Lung. Jul-Aug 2021;50(4):481-490. </w:t>
            </w:r>
            <w:proofErr w:type="gramStart"/>
            <w:r w:rsidRPr="00ED08C3">
              <w:rPr>
                <w:rFonts w:cstheme="minorHAnsi"/>
              </w:rPr>
              <w:t>doi:10.1016/j.hrtlng</w:t>
            </w:r>
            <w:proofErr w:type="gramEnd"/>
            <w:r w:rsidRPr="00ED08C3">
              <w:rPr>
                <w:rFonts w:cstheme="minorHAnsi"/>
              </w:rPr>
              <w:t>.2021.02.015</w:t>
            </w:r>
          </w:p>
          <w:p w14:paraId="217F1826" w14:textId="77777777" w:rsidR="00945AA2" w:rsidRPr="00ED08C3" w:rsidRDefault="00945AA2" w:rsidP="00945AA2">
            <w:pPr>
              <w:rPr>
                <w:rFonts w:cstheme="minorHAnsi"/>
              </w:rPr>
            </w:pPr>
            <w:r w:rsidRPr="00ED08C3">
              <w:rPr>
                <w:rFonts w:cstheme="minorHAnsi"/>
              </w:rPr>
              <w:t>6.</w:t>
            </w:r>
            <w:r w:rsidRPr="00ED08C3">
              <w:rPr>
                <w:rFonts w:cstheme="minorHAnsi"/>
              </w:rPr>
              <w:tab/>
              <w:t xml:space="preserve">Jiang C, Xie M, </w:t>
            </w:r>
            <w:proofErr w:type="spellStart"/>
            <w:r w:rsidRPr="00ED08C3">
              <w:rPr>
                <w:rFonts w:cstheme="minorHAnsi"/>
              </w:rPr>
              <w:t>Cervellione</w:t>
            </w:r>
            <w:proofErr w:type="spellEnd"/>
            <w:r w:rsidRPr="00ED08C3">
              <w:rPr>
                <w:rFonts w:cstheme="minorHAnsi"/>
              </w:rPr>
              <w:t xml:space="preserve"> K, Thurm C. Clinical efficacy and bleeding outcomes of tissue plasminogen activator and dornase alfa in pleural space infection with once daily concurrent administration: a retrospective cohort study. BMC Res Notes. Aug 3</w:t>
            </w:r>
            <w:proofErr w:type="gramStart"/>
            <w:r w:rsidRPr="00ED08C3">
              <w:rPr>
                <w:rFonts w:cstheme="minorHAnsi"/>
              </w:rPr>
              <w:t xml:space="preserve"> 2020</w:t>
            </w:r>
            <w:proofErr w:type="gramEnd"/>
            <w:r w:rsidRPr="00ED08C3">
              <w:rPr>
                <w:rFonts w:cstheme="minorHAnsi"/>
              </w:rPr>
              <w:t>;13(1):368. doi:10.1186/s13104-020-05210-2</w:t>
            </w:r>
          </w:p>
          <w:p w14:paraId="23CE3EC7" w14:textId="77777777" w:rsidR="00945AA2" w:rsidRPr="00ED08C3" w:rsidRDefault="00945AA2" w:rsidP="00945AA2">
            <w:pPr>
              <w:rPr>
                <w:rFonts w:cstheme="minorHAnsi"/>
              </w:rPr>
            </w:pPr>
            <w:r w:rsidRPr="00ED08C3">
              <w:rPr>
                <w:rFonts w:cstheme="minorHAnsi"/>
              </w:rPr>
              <w:t>7.</w:t>
            </w:r>
            <w:r w:rsidRPr="00ED08C3">
              <w:rPr>
                <w:rFonts w:cstheme="minorHAnsi"/>
              </w:rPr>
              <w:tab/>
              <w:t xml:space="preserve">Majid A, Kheir F, Folch A, et al. Concurrent Intrapleural Instillation of Tissue Plasminogen Activator and DNase for Pleural Infection. A Single-Center Experience. Ann Am </w:t>
            </w:r>
            <w:proofErr w:type="spellStart"/>
            <w:r w:rsidRPr="00ED08C3">
              <w:rPr>
                <w:rFonts w:cstheme="minorHAnsi"/>
              </w:rPr>
              <w:t>Thorac</w:t>
            </w:r>
            <w:proofErr w:type="spellEnd"/>
            <w:r w:rsidRPr="00ED08C3">
              <w:rPr>
                <w:rFonts w:cstheme="minorHAnsi"/>
              </w:rPr>
              <w:t xml:space="preserve"> Soc. Sep 2016;13(9):1512-8. doi:10.1513/AnnalsATS.201602-127OC</w:t>
            </w:r>
          </w:p>
          <w:p w14:paraId="3A4B0B05" w14:textId="77777777" w:rsidR="00945AA2" w:rsidRPr="00ED08C3" w:rsidRDefault="00945AA2" w:rsidP="00945AA2">
            <w:pPr>
              <w:rPr>
                <w:rFonts w:cstheme="minorHAnsi"/>
              </w:rPr>
            </w:pPr>
            <w:r w:rsidRPr="00ED08C3">
              <w:rPr>
                <w:rFonts w:cstheme="minorHAnsi"/>
              </w:rPr>
              <w:t>8.</w:t>
            </w:r>
            <w:r w:rsidRPr="00ED08C3">
              <w:rPr>
                <w:rFonts w:cstheme="minorHAnsi"/>
              </w:rPr>
              <w:tab/>
            </w:r>
            <w:proofErr w:type="spellStart"/>
            <w:r w:rsidRPr="00ED08C3">
              <w:rPr>
                <w:rFonts w:cstheme="minorHAnsi"/>
              </w:rPr>
              <w:t>Akulian</w:t>
            </w:r>
            <w:proofErr w:type="spellEnd"/>
            <w:r w:rsidRPr="00ED08C3">
              <w:rPr>
                <w:rFonts w:cstheme="minorHAnsi"/>
              </w:rPr>
              <w:t xml:space="preserve"> J, </w:t>
            </w:r>
            <w:proofErr w:type="spellStart"/>
            <w:r w:rsidRPr="00ED08C3">
              <w:rPr>
                <w:rFonts w:cstheme="minorHAnsi"/>
              </w:rPr>
              <w:t>Bedawi</w:t>
            </w:r>
            <w:proofErr w:type="spellEnd"/>
            <w:r w:rsidRPr="00ED08C3">
              <w:rPr>
                <w:rFonts w:cstheme="minorHAnsi"/>
              </w:rPr>
              <w:t xml:space="preserve"> EO, Abbas H, et al. Bleeding Risk </w:t>
            </w:r>
            <w:proofErr w:type="gramStart"/>
            <w:r w:rsidRPr="00ED08C3">
              <w:rPr>
                <w:rFonts w:cstheme="minorHAnsi"/>
              </w:rPr>
              <w:t>With</w:t>
            </w:r>
            <w:proofErr w:type="gramEnd"/>
            <w:r w:rsidRPr="00ED08C3">
              <w:rPr>
                <w:rFonts w:cstheme="minorHAnsi"/>
              </w:rPr>
              <w:t xml:space="preserve"> Combination Intrapleural Fibrinolytic and Enzyme Therapy in Pleural Infection: An International, Multicenter, Retrospective Cohort Study. Chest. Dec 2022;162(6):1384-1392. </w:t>
            </w:r>
            <w:proofErr w:type="gramStart"/>
            <w:r w:rsidRPr="00ED08C3">
              <w:rPr>
                <w:rFonts w:cstheme="minorHAnsi"/>
              </w:rPr>
              <w:t>doi:10.1016/j.chest</w:t>
            </w:r>
            <w:proofErr w:type="gramEnd"/>
            <w:r w:rsidRPr="00ED08C3">
              <w:rPr>
                <w:rFonts w:cstheme="minorHAnsi"/>
              </w:rPr>
              <w:t>.2022.06.008</w:t>
            </w:r>
          </w:p>
          <w:p w14:paraId="6BF29787" w14:textId="77777777" w:rsidR="00945AA2" w:rsidRPr="00ED08C3" w:rsidRDefault="00945AA2" w:rsidP="00945AA2">
            <w:pPr>
              <w:rPr>
                <w:rFonts w:cstheme="minorHAnsi"/>
              </w:rPr>
            </w:pPr>
            <w:r w:rsidRPr="00ED08C3">
              <w:rPr>
                <w:rFonts w:cstheme="minorHAnsi"/>
              </w:rPr>
              <w:t>9.</w:t>
            </w:r>
            <w:r w:rsidRPr="00ED08C3">
              <w:rPr>
                <w:rFonts w:cstheme="minorHAnsi"/>
              </w:rPr>
              <w:tab/>
              <w:t>Davis AC, Voelkel JL, Remmers CL, Adams JL, McGlynn EA. Comparing Kaiser Permanente Members to the General Population: Implications for Generalizability of Research. Perm J. Jun 15</w:t>
            </w:r>
            <w:proofErr w:type="gramStart"/>
            <w:r w:rsidRPr="00ED08C3">
              <w:rPr>
                <w:rFonts w:cstheme="minorHAnsi"/>
              </w:rPr>
              <w:t xml:space="preserve"> 2023</w:t>
            </w:r>
            <w:proofErr w:type="gramEnd"/>
            <w:r w:rsidRPr="00ED08C3">
              <w:rPr>
                <w:rFonts w:cstheme="minorHAnsi"/>
              </w:rPr>
              <w:t>;27(2):87-98. doi:10.7812/TPP/22.172</w:t>
            </w:r>
          </w:p>
          <w:p w14:paraId="54AC18A4" w14:textId="77777777" w:rsidR="00945AA2" w:rsidRPr="00ED08C3" w:rsidRDefault="00945AA2" w:rsidP="00945AA2">
            <w:pPr>
              <w:rPr>
                <w:rFonts w:cstheme="minorHAnsi"/>
              </w:rPr>
            </w:pPr>
            <w:r w:rsidRPr="00ED08C3">
              <w:rPr>
                <w:rFonts w:cstheme="minorHAnsi"/>
              </w:rPr>
              <w:t>10.</w:t>
            </w:r>
            <w:r w:rsidRPr="00ED08C3">
              <w:rPr>
                <w:rFonts w:cstheme="minorHAnsi"/>
              </w:rPr>
              <w:tab/>
              <w:t xml:space="preserve">Escobar GJ, Gardner MN, Greene JD, Draper D, Kipnis P. Risk-adjusting hospital mortality using a comprehensive electronic record in an integrated health care delivery system. Med Care. May 2013;51(5):446-53. </w:t>
            </w:r>
            <w:proofErr w:type="gramStart"/>
            <w:r w:rsidRPr="00ED08C3">
              <w:rPr>
                <w:rFonts w:cstheme="minorHAnsi"/>
              </w:rPr>
              <w:t>doi:10.1097/MLR.0b013e3182881c8e</w:t>
            </w:r>
            <w:proofErr w:type="gramEnd"/>
          </w:p>
          <w:p w14:paraId="693A3C7E" w14:textId="77777777" w:rsidR="00945AA2" w:rsidRPr="00ED08C3" w:rsidRDefault="00945AA2" w:rsidP="00945AA2">
            <w:pPr>
              <w:rPr>
                <w:rFonts w:cstheme="minorHAnsi"/>
              </w:rPr>
            </w:pPr>
            <w:r w:rsidRPr="00ED08C3">
              <w:rPr>
                <w:rFonts w:cstheme="minorHAnsi"/>
              </w:rPr>
              <w:t>11.</w:t>
            </w:r>
            <w:r w:rsidRPr="00ED08C3">
              <w:rPr>
                <w:rFonts w:cstheme="minorHAnsi"/>
              </w:rPr>
              <w:tab/>
              <w:t>Stroup WW. Generalized Linear Mixed Models: Modern Concepts, Methods and Applications. Taylor &amp; Francis; 2012.</w:t>
            </w:r>
          </w:p>
          <w:p w14:paraId="7A2FA3B5" w14:textId="77777777" w:rsidR="00945AA2" w:rsidRPr="00ED08C3" w:rsidRDefault="00945AA2" w:rsidP="00945AA2">
            <w:pPr>
              <w:rPr>
                <w:rFonts w:cstheme="minorHAnsi"/>
              </w:rPr>
            </w:pPr>
            <w:r w:rsidRPr="00ED08C3">
              <w:rPr>
                <w:rFonts w:cstheme="minorHAnsi"/>
              </w:rPr>
              <w:t>12.</w:t>
            </w:r>
            <w:r w:rsidRPr="00ED08C3">
              <w:rPr>
                <w:rFonts w:cstheme="minorHAnsi"/>
              </w:rPr>
              <w:tab/>
              <w:t>Lau EPM, Eshraghi M, Dootson K, et al. An international survey on the use of intrapleural tissue plasminogen activator/DNase therapy for pleural infection. ERJ Open Res. Jan 2022;8(</w:t>
            </w:r>
            <w:proofErr w:type="gramStart"/>
            <w:r w:rsidRPr="00ED08C3">
              <w:rPr>
                <w:rFonts w:cstheme="minorHAnsi"/>
              </w:rPr>
              <w:t>1)doi</w:t>
            </w:r>
            <w:proofErr w:type="gramEnd"/>
            <w:r w:rsidRPr="00ED08C3">
              <w:rPr>
                <w:rFonts w:cstheme="minorHAnsi"/>
              </w:rPr>
              <w:t>:10.1183/23120541.00590-2021</w:t>
            </w:r>
          </w:p>
          <w:p w14:paraId="10A85337" w14:textId="77777777" w:rsidR="00945AA2" w:rsidRPr="00ED08C3" w:rsidRDefault="00945AA2" w:rsidP="00945AA2">
            <w:pPr>
              <w:rPr>
                <w:rFonts w:cstheme="minorHAnsi"/>
              </w:rPr>
            </w:pPr>
            <w:r w:rsidRPr="00ED08C3">
              <w:rPr>
                <w:rFonts w:cstheme="minorHAnsi"/>
              </w:rPr>
              <w:t>13.</w:t>
            </w:r>
            <w:r w:rsidRPr="00ED08C3">
              <w:rPr>
                <w:rFonts w:cstheme="minorHAnsi"/>
              </w:rPr>
              <w:tab/>
            </w:r>
            <w:proofErr w:type="spellStart"/>
            <w:r w:rsidRPr="00ED08C3">
              <w:rPr>
                <w:rFonts w:cstheme="minorHAnsi"/>
              </w:rPr>
              <w:t>Patrini</w:t>
            </w:r>
            <w:proofErr w:type="spellEnd"/>
            <w:r w:rsidRPr="00ED08C3">
              <w:rPr>
                <w:rFonts w:cstheme="minorHAnsi"/>
              </w:rPr>
              <w:t xml:space="preserve"> D, Panagiotopoulos N, </w:t>
            </w:r>
            <w:proofErr w:type="spellStart"/>
            <w:r w:rsidRPr="00ED08C3">
              <w:rPr>
                <w:rFonts w:cstheme="minorHAnsi"/>
              </w:rPr>
              <w:t>Pararajasingham</w:t>
            </w:r>
            <w:proofErr w:type="spellEnd"/>
            <w:r w:rsidRPr="00ED08C3">
              <w:rPr>
                <w:rFonts w:cstheme="minorHAnsi"/>
              </w:rPr>
              <w:t xml:space="preserve"> J, </w:t>
            </w:r>
            <w:proofErr w:type="spellStart"/>
            <w:r w:rsidRPr="00ED08C3">
              <w:rPr>
                <w:rFonts w:cstheme="minorHAnsi"/>
              </w:rPr>
              <w:t>Gvinianidze</w:t>
            </w:r>
            <w:proofErr w:type="spellEnd"/>
            <w:r w:rsidRPr="00ED08C3">
              <w:rPr>
                <w:rFonts w:cstheme="minorHAnsi"/>
              </w:rPr>
              <w:t xml:space="preserve"> L, Iqbal Y, Lawrence DR. Etiology and management of spontaneous </w:t>
            </w:r>
            <w:proofErr w:type="spellStart"/>
            <w:r w:rsidRPr="00ED08C3">
              <w:rPr>
                <w:rFonts w:cstheme="minorHAnsi"/>
              </w:rPr>
              <w:t>haemothorax</w:t>
            </w:r>
            <w:proofErr w:type="spellEnd"/>
            <w:r w:rsidRPr="00ED08C3">
              <w:rPr>
                <w:rFonts w:cstheme="minorHAnsi"/>
              </w:rPr>
              <w:t xml:space="preserve">. J </w:t>
            </w:r>
            <w:proofErr w:type="spellStart"/>
            <w:r w:rsidRPr="00ED08C3">
              <w:rPr>
                <w:rFonts w:cstheme="minorHAnsi"/>
              </w:rPr>
              <w:t>Thorac</w:t>
            </w:r>
            <w:proofErr w:type="spellEnd"/>
            <w:r w:rsidRPr="00ED08C3">
              <w:rPr>
                <w:rFonts w:cstheme="minorHAnsi"/>
              </w:rPr>
              <w:t xml:space="preserve"> Dis. Mar 2015;7(3):520-6. </w:t>
            </w:r>
            <w:proofErr w:type="gramStart"/>
            <w:r w:rsidRPr="00ED08C3">
              <w:rPr>
                <w:rFonts w:cstheme="minorHAnsi"/>
              </w:rPr>
              <w:t>doi:10.3978/j.issn</w:t>
            </w:r>
            <w:proofErr w:type="gramEnd"/>
            <w:r w:rsidRPr="00ED08C3">
              <w:rPr>
                <w:rFonts w:cstheme="minorHAnsi"/>
              </w:rPr>
              <w:t>.2072-1439.2014.12.50</w:t>
            </w:r>
          </w:p>
          <w:p w14:paraId="248D0D38" w14:textId="77777777" w:rsidR="00945AA2" w:rsidRPr="00ED08C3" w:rsidRDefault="00945AA2" w:rsidP="00945AA2">
            <w:pPr>
              <w:rPr>
                <w:rFonts w:cstheme="minorHAnsi"/>
              </w:rPr>
            </w:pPr>
            <w:r w:rsidRPr="00ED08C3">
              <w:rPr>
                <w:rFonts w:cstheme="minorHAnsi"/>
              </w:rPr>
              <w:lastRenderedPageBreak/>
              <w:t>14.</w:t>
            </w:r>
            <w:r w:rsidRPr="00ED08C3">
              <w:rPr>
                <w:rFonts w:cstheme="minorHAnsi"/>
              </w:rPr>
              <w:tab/>
              <w:t xml:space="preserve">Majid A, Ochoa S, Chatterji S, et al. Safety and Efficacy of Tissue Plasminogen Activator and DNase for Complicated Pleural Effusions Secondary to Abdominal Pathology. Ann Am </w:t>
            </w:r>
            <w:proofErr w:type="spellStart"/>
            <w:r w:rsidRPr="00ED08C3">
              <w:rPr>
                <w:rFonts w:cstheme="minorHAnsi"/>
              </w:rPr>
              <w:t>Thorac</w:t>
            </w:r>
            <w:proofErr w:type="spellEnd"/>
            <w:r w:rsidRPr="00ED08C3">
              <w:rPr>
                <w:rFonts w:cstheme="minorHAnsi"/>
              </w:rPr>
              <w:t xml:space="preserve"> Soc. Mar 2017;14(3):342-346. doi:10.1513/AnnalsATS.201608-594BC</w:t>
            </w:r>
          </w:p>
          <w:p w14:paraId="5240E593" w14:textId="77777777" w:rsidR="00945AA2" w:rsidRPr="00ED08C3" w:rsidRDefault="00945AA2" w:rsidP="00945AA2">
            <w:pPr>
              <w:rPr>
                <w:rFonts w:cstheme="minorHAnsi"/>
              </w:rPr>
            </w:pPr>
            <w:r w:rsidRPr="00ED08C3">
              <w:rPr>
                <w:rFonts w:cstheme="minorHAnsi"/>
              </w:rPr>
              <w:t>15.</w:t>
            </w:r>
            <w:r w:rsidRPr="00ED08C3">
              <w:rPr>
                <w:rFonts w:cstheme="minorHAnsi"/>
              </w:rPr>
              <w:tab/>
              <w:t>Maskell NA, Davies CW, Nunn AJ, et al. U.K. Controlled trial of intrapleural streptokinase for pleural infection. N Engl J Med. Mar 3</w:t>
            </w:r>
            <w:proofErr w:type="gramStart"/>
            <w:r w:rsidRPr="00ED08C3">
              <w:rPr>
                <w:rFonts w:cstheme="minorHAnsi"/>
              </w:rPr>
              <w:t xml:space="preserve"> 2005</w:t>
            </w:r>
            <w:proofErr w:type="gramEnd"/>
            <w:r w:rsidRPr="00ED08C3">
              <w:rPr>
                <w:rFonts w:cstheme="minorHAnsi"/>
              </w:rPr>
              <w:t>;352(9):865-74. doi:10.1056/NEJMoa042473</w:t>
            </w:r>
          </w:p>
          <w:p w14:paraId="1EB41624" w14:textId="77777777" w:rsidR="00945AA2" w:rsidRPr="00ED08C3" w:rsidRDefault="00945AA2" w:rsidP="00945AA2">
            <w:pPr>
              <w:rPr>
                <w:rFonts w:cstheme="minorHAnsi"/>
              </w:rPr>
            </w:pPr>
            <w:r w:rsidRPr="00ED08C3">
              <w:rPr>
                <w:rFonts w:cstheme="minorHAnsi"/>
              </w:rPr>
              <w:t>16.</w:t>
            </w:r>
            <w:r w:rsidRPr="00ED08C3">
              <w:rPr>
                <w:rFonts w:cstheme="minorHAnsi"/>
              </w:rPr>
              <w:tab/>
              <w:t xml:space="preserve">Patino SH, </w:t>
            </w:r>
            <w:proofErr w:type="spellStart"/>
            <w:r w:rsidRPr="00ED08C3">
              <w:rPr>
                <w:rFonts w:cstheme="minorHAnsi"/>
              </w:rPr>
              <w:t>Tarrazzi</w:t>
            </w:r>
            <w:proofErr w:type="spellEnd"/>
            <w:r w:rsidRPr="00ED08C3">
              <w:rPr>
                <w:rFonts w:cstheme="minorHAnsi"/>
              </w:rPr>
              <w:t xml:space="preserve"> F, Tami C, Bellini A, Block M. Extended Dwell Time Improves Results of Fibrinolytic Therapy for Complex Pleural Effusions. Cureus. Aug 11</w:t>
            </w:r>
            <w:proofErr w:type="gramStart"/>
            <w:r w:rsidRPr="00ED08C3">
              <w:rPr>
                <w:rFonts w:cstheme="minorHAnsi"/>
              </w:rPr>
              <w:t xml:space="preserve"> 2020</w:t>
            </w:r>
            <w:proofErr w:type="gramEnd"/>
            <w:r w:rsidRPr="00ED08C3">
              <w:rPr>
                <w:rFonts w:cstheme="minorHAnsi"/>
              </w:rPr>
              <w:t>;12(8</w:t>
            </w:r>
            <w:proofErr w:type="gramStart"/>
            <w:r w:rsidRPr="00ED08C3">
              <w:rPr>
                <w:rFonts w:cstheme="minorHAnsi"/>
              </w:rPr>
              <w:t>):e</w:t>
            </w:r>
            <w:proofErr w:type="gramEnd"/>
            <w:r w:rsidRPr="00ED08C3">
              <w:rPr>
                <w:rFonts w:cstheme="minorHAnsi"/>
              </w:rPr>
              <w:t>9664. doi:10.7759/cureus.9664</w:t>
            </w:r>
          </w:p>
          <w:p w14:paraId="7DC21F78" w14:textId="77777777" w:rsidR="00945AA2" w:rsidRPr="00ED08C3" w:rsidRDefault="00945AA2" w:rsidP="00945AA2">
            <w:pPr>
              <w:rPr>
                <w:rFonts w:cstheme="minorHAnsi"/>
              </w:rPr>
            </w:pPr>
            <w:r w:rsidRPr="00ED08C3">
              <w:rPr>
                <w:rFonts w:cstheme="minorHAnsi"/>
              </w:rPr>
              <w:t>17.</w:t>
            </w:r>
            <w:r w:rsidRPr="00ED08C3">
              <w:rPr>
                <w:rFonts w:cstheme="minorHAnsi"/>
              </w:rPr>
              <w:tab/>
              <w:t xml:space="preserve">Popowicz N, Bintcliffe O, De Fonseka D, et al. Dose De-escalation of Intrapleural Tissue Plasminogen Activator Therapy for Pleural Infection. The Alteplase Dose Assessment for Pleural Infection Therapy Project. Ann Am </w:t>
            </w:r>
            <w:proofErr w:type="spellStart"/>
            <w:r w:rsidRPr="00ED08C3">
              <w:rPr>
                <w:rFonts w:cstheme="minorHAnsi"/>
              </w:rPr>
              <w:t>Thorac</w:t>
            </w:r>
            <w:proofErr w:type="spellEnd"/>
            <w:r w:rsidRPr="00ED08C3">
              <w:rPr>
                <w:rFonts w:cstheme="minorHAnsi"/>
              </w:rPr>
              <w:t xml:space="preserve"> Soc. Jun 2017;14(6):929-936. doi:10.1513/AnnalsATS.201609-673OC</w:t>
            </w:r>
          </w:p>
          <w:p w14:paraId="1B3E27DF" w14:textId="77777777" w:rsidR="00945AA2" w:rsidRPr="00ED08C3" w:rsidRDefault="00945AA2" w:rsidP="00945AA2">
            <w:pPr>
              <w:rPr>
                <w:rFonts w:cstheme="minorHAnsi"/>
              </w:rPr>
            </w:pPr>
            <w:r w:rsidRPr="00ED08C3">
              <w:rPr>
                <w:rFonts w:cstheme="minorHAnsi"/>
              </w:rPr>
              <w:t>18.</w:t>
            </w:r>
            <w:r w:rsidRPr="00ED08C3">
              <w:rPr>
                <w:rFonts w:cstheme="minorHAnsi"/>
              </w:rPr>
              <w:tab/>
              <w:t>Davis AC, Voelkel JL, Remmers CL, Adams JL, McGlynn EA. Comparing Kaiser Permanente Members to the General Population: Implications for Generalizability of Research. Perm J. May 12</w:t>
            </w:r>
            <w:proofErr w:type="gramStart"/>
            <w:r w:rsidRPr="00ED08C3">
              <w:rPr>
                <w:rFonts w:cstheme="minorHAnsi"/>
              </w:rPr>
              <w:t xml:space="preserve"> 2023</w:t>
            </w:r>
            <w:proofErr w:type="gramEnd"/>
            <w:r w:rsidRPr="00ED08C3">
              <w:rPr>
                <w:rFonts w:cstheme="minorHAnsi"/>
              </w:rPr>
              <w:t>:1-12. doi:10.7812/TPP/22.172</w:t>
            </w:r>
          </w:p>
          <w:p w14:paraId="3A8C516E" w14:textId="77777777" w:rsidR="00945AA2" w:rsidRPr="00ED08C3" w:rsidRDefault="00945AA2" w:rsidP="00945AA2">
            <w:pPr>
              <w:rPr>
                <w:rFonts w:cstheme="minorHAnsi"/>
              </w:rPr>
            </w:pPr>
            <w:r w:rsidRPr="00ED08C3">
              <w:rPr>
                <w:rFonts w:cstheme="minorHAnsi"/>
              </w:rPr>
              <w:t>19.</w:t>
            </w:r>
            <w:r w:rsidRPr="00ED08C3">
              <w:rPr>
                <w:rFonts w:cstheme="minorHAnsi"/>
              </w:rPr>
              <w:tab/>
            </w:r>
            <w:proofErr w:type="spellStart"/>
            <w:r w:rsidRPr="00ED08C3">
              <w:rPr>
                <w:rFonts w:cstheme="minorHAnsi"/>
              </w:rPr>
              <w:t>Bedawi</w:t>
            </w:r>
            <w:proofErr w:type="spellEnd"/>
            <w:r w:rsidRPr="00ED08C3">
              <w:rPr>
                <w:rFonts w:cstheme="minorHAnsi"/>
              </w:rPr>
              <w:t xml:space="preserve"> EO, </w:t>
            </w:r>
            <w:proofErr w:type="spellStart"/>
            <w:r w:rsidRPr="00ED08C3">
              <w:rPr>
                <w:rFonts w:cstheme="minorHAnsi"/>
              </w:rPr>
              <w:t>Stavroulias</w:t>
            </w:r>
            <w:proofErr w:type="spellEnd"/>
            <w:r w:rsidRPr="00ED08C3">
              <w:rPr>
                <w:rFonts w:cstheme="minorHAnsi"/>
              </w:rPr>
              <w:t xml:space="preserve"> D, Hedley E, et al. Early Video-assisted Thoracoscopic Surgery or Intrapleural Enzyme Therapy in Pleural Infection: A Feasibility Randomized Controlled Trial. The Third Multicenter Intrapleural Sepsis Trial-MIST-3. Am J Respir Crit Care Med. Dec 15</w:t>
            </w:r>
            <w:proofErr w:type="gramStart"/>
            <w:r w:rsidRPr="00ED08C3">
              <w:rPr>
                <w:rFonts w:cstheme="minorHAnsi"/>
              </w:rPr>
              <w:t xml:space="preserve"> 2023</w:t>
            </w:r>
            <w:proofErr w:type="gramEnd"/>
            <w:r w:rsidRPr="00ED08C3">
              <w:rPr>
                <w:rFonts w:cstheme="minorHAnsi"/>
              </w:rPr>
              <w:t>;208(12):1305-1315. doi:10.1164/rccm.202305-0854OC</w:t>
            </w:r>
          </w:p>
          <w:p w14:paraId="722DE921" w14:textId="06C73A7F" w:rsidR="00945AA2" w:rsidRPr="00ED08C3" w:rsidRDefault="00945AA2" w:rsidP="0048655A">
            <w:pPr>
              <w:spacing w:line="259" w:lineRule="auto"/>
              <w:rPr>
                <w:rFonts w:cstheme="minorHAnsi"/>
              </w:rPr>
            </w:pPr>
          </w:p>
        </w:tc>
      </w:tr>
      <w:bookmarkEnd w:id="0"/>
    </w:tbl>
    <w:p w14:paraId="62800767" w14:textId="77777777" w:rsidR="00FE6194" w:rsidRPr="00ED08C3" w:rsidRDefault="00FE6194" w:rsidP="00C73A94">
      <w:pPr>
        <w:spacing w:after="0"/>
        <w:rPr>
          <w:rFonts w:cstheme="minorHAnsi"/>
        </w:rPr>
      </w:pPr>
    </w:p>
    <w:sectPr w:rsidR="00FE6194" w:rsidRPr="00ED08C3" w:rsidSect="00D245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16B"/>
    <w:multiLevelType w:val="hybridMultilevel"/>
    <w:tmpl w:val="6C76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D0BEF"/>
    <w:multiLevelType w:val="hybridMultilevel"/>
    <w:tmpl w:val="1F648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55843"/>
    <w:multiLevelType w:val="hybridMultilevel"/>
    <w:tmpl w:val="101A04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883715259">
    <w:abstractNumId w:val="1"/>
  </w:num>
  <w:num w:numId="2" w16cid:durableId="1588877219">
    <w:abstractNumId w:val="0"/>
  </w:num>
  <w:num w:numId="3" w16cid:durableId="411781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0"/>
    <w:rsid w:val="00012CEB"/>
    <w:rsid w:val="00016CC7"/>
    <w:rsid w:val="000240CA"/>
    <w:rsid w:val="0002668F"/>
    <w:rsid w:val="0004749A"/>
    <w:rsid w:val="0005078F"/>
    <w:rsid w:val="00063325"/>
    <w:rsid w:val="000811DB"/>
    <w:rsid w:val="000945B2"/>
    <w:rsid w:val="000A3622"/>
    <w:rsid w:val="000A79BF"/>
    <w:rsid w:val="000E4D63"/>
    <w:rsid w:val="0012137F"/>
    <w:rsid w:val="00161560"/>
    <w:rsid w:val="00166A65"/>
    <w:rsid w:val="00166CFA"/>
    <w:rsid w:val="001807A9"/>
    <w:rsid w:val="001A6E37"/>
    <w:rsid w:val="001D52BB"/>
    <w:rsid w:val="001E348B"/>
    <w:rsid w:val="00201E5B"/>
    <w:rsid w:val="00210BFF"/>
    <w:rsid w:val="00213A28"/>
    <w:rsid w:val="00245565"/>
    <w:rsid w:val="00263433"/>
    <w:rsid w:val="00270E1F"/>
    <w:rsid w:val="002804C3"/>
    <w:rsid w:val="00281D4A"/>
    <w:rsid w:val="002A1A00"/>
    <w:rsid w:val="002A2B4C"/>
    <w:rsid w:val="002B05A2"/>
    <w:rsid w:val="002E4085"/>
    <w:rsid w:val="002F0490"/>
    <w:rsid w:val="0031051B"/>
    <w:rsid w:val="003116D8"/>
    <w:rsid w:val="003122F3"/>
    <w:rsid w:val="0031420E"/>
    <w:rsid w:val="00314AD4"/>
    <w:rsid w:val="003A20D6"/>
    <w:rsid w:val="003A4F9A"/>
    <w:rsid w:val="003B488E"/>
    <w:rsid w:val="003D755D"/>
    <w:rsid w:val="003E27D1"/>
    <w:rsid w:val="003E34C5"/>
    <w:rsid w:val="003F7CB0"/>
    <w:rsid w:val="00434976"/>
    <w:rsid w:val="00463A86"/>
    <w:rsid w:val="0048655A"/>
    <w:rsid w:val="004B6BA5"/>
    <w:rsid w:val="004E3308"/>
    <w:rsid w:val="004F56BD"/>
    <w:rsid w:val="00506253"/>
    <w:rsid w:val="0051046D"/>
    <w:rsid w:val="005123A7"/>
    <w:rsid w:val="00514319"/>
    <w:rsid w:val="00531827"/>
    <w:rsid w:val="00580F00"/>
    <w:rsid w:val="00586F7D"/>
    <w:rsid w:val="00611A90"/>
    <w:rsid w:val="0061427D"/>
    <w:rsid w:val="006B4365"/>
    <w:rsid w:val="006D32D2"/>
    <w:rsid w:val="006E0FAC"/>
    <w:rsid w:val="0072563B"/>
    <w:rsid w:val="00745595"/>
    <w:rsid w:val="00777238"/>
    <w:rsid w:val="00782DD6"/>
    <w:rsid w:val="007C0FA6"/>
    <w:rsid w:val="007C31EA"/>
    <w:rsid w:val="007E7BC8"/>
    <w:rsid w:val="007F3930"/>
    <w:rsid w:val="008026E9"/>
    <w:rsid w:val="008113D2"/>
    <w:rsid w:val="008131C8"/>
    <w:rsid w:val="00814F8B"/>
    <w:rsid w:val="00837BD5"/>
    <w:rsid w:val="00857B24"/>
    <w:rsid w:val="00871F97"/>
    <w:rsid w:val="00880A1F"/>
    <w:rsid w:val="008A7799"/>
    <w:rsid w:val="008A7C90"/>
    <w:rsid w:val="008C3453"/>
    <w:rsid w:val="008E2E90"/>
    <w:rsid w:val="008E6D2C"/>
    <w:rsid w:val="008F7DD3"/>
    <w:rsid w:val="009001F2"/>
    <w:rsid w:val="00931101"/>
    <w:rsid w:val="00933309"/>
    <w:rsid w:val="00934148"/>
    <w:rsid w:val="00936A7C"/>
    <w:rsid w:val="00945AA2"/>
    <w:rsid w:val="00983524"/>
    <w:rsid w:val="009856D7"/>
    <w:rsid w:val="009D51B0"/>
    <w:rsid w:val="00A16BB1"/>
    <w:rsid w:val="00A252AE"/>
    <w:rsid w:val="00A36DB6"/>
    <w:rsid w:val="00A60A5B"/>
    <w:rsid w:val="00A92877"/>
    <w:rsid w:val="00A9DEF6"/>
    <w:rsid w:val="00AC32C1"/>
    <w:rsid w:val="00AC5AF6"/>
    <w:rsid w:val="00B2702B"/>
    <w:rsid w:val="00B61D85"/>
    <w:rsid w:val="00BA2786"/>
    <w:rsid w:val="00BB1411"/>
    <w:rsid w:val="00BC6AA5"/>
    <w:rsid w:val="00BD675C"/>
    <w:rsid w:val="00C22D46"/>
    <w:rsid w:val="00C3487D"/>
    <w:rsid w:val="00C4025A"/>
    <w:rsid w:val="00C537E3"/>
    <w:rsid w:val="00C73A94"/>
    <w:rsid w:val="00C7490F"/>
    <w:rsid w:val="00C82A9B"/>
    <w:rsid w:val="00CB0455"/>
    <w:rsid w:val="00CC5D21"/>
    <w:rsid w:val="00CC659B"/>
    <w:rsid w:val="00CE31EA"/>
    <w:rsid w:val="00CE6EDF"/>
    <w:rsid w:val="00CF2245"/>
    <w:rsid w:val="00CF4301"/>
    <w:rsid w:val="00D003F1"/>
    <w:rsid w:val="00D24534"/>
    <w:rsid w:val="00D470A8"/>
    <w:rsid w:val="00D9697B"/>
    <w:rsid w:val="00DA3D86"/>
    <w:rsid w:val="00DC11D8"/>
    <w:rsid w:val="00DC20D4"/>
    <w:rsid w:val="00E00F8B"/>
    <w:rsid w:val="00E16745"/>
    <w:rsid w:val="00E33B4F"/>
    <w:rsid w:val="00E8740F"/>
    <w:rsid w:val="00EB0401"/>
    <w:rsid w:val="00EB281E"/>
    <w:rsid w:val="00ED08C3"/>
    <w:rsid w:val="00EF1DAF"/>
    <w:rsid w:val="00EF635D"/>
    <w:rsid w:val="00EF6EE1"/>
    <w:rsid w:val="00F3097C"/>
    <w:rsid w:val="00F91EB4"/>
    <w:rsid w:val="00FB7B56"/>
    <w:rsid w:val="00FE6194"/>
    <w:rsid w:val="00FF6384"/>
    <w:rsid w:val="025F0480"/>
    <w:rsid w:val="04718FF1"/>
    <w:rsid w:val="05F1B2ED"/>
    <w:rsid w:val="08A4923F"/>
    <w:rsid w:val="0B4BE6C0"/>
    <w:rsid w:val="0B576CFD"/>
    <w:rsid w:val="0DE5A60F"/>
    <w:rsid w:val="0E5E7CC9"/>
    <w:rsid w:val="0E9A279E"/>
    <w:rsid w:val="1030999D"/>
    <w:rsid w:val="106F643A"/>
    <w:rsid w:val="10F439E7"/>
    <w:rsid w:val="1542774C"/>
    <w:rsid w:val="15C0830C"/>
    <w:rsid w:val="15E94FE6"/>
    <w:rsid w:val="18301B3C"/>
    <w:rsid w:val="18914DCB"/>
    <w:rsid w:val="1A5160CE"/>
    <w:rsid w:val="1A557A28"/>
    <w:rsid w:val="1D0C06A2"/>
    <w:rsid w:val="205CE84E"/>
    <w:rsid w:val="2091F6A5"/>
    <w:rsid w:val="20ABA157"/>
    <w:rsid w:val="20BDEB26"/>
    <w:rsid w:val="218587D5"/>
    <w:rsid w:val="23771170"/>
    <w:rsid w:val="25AF17FC"/>
    <w:rsid w:val="299FE219"/>
    <w:rsid w:val="2A4A30D9"/>
    <w:rsid w:val="2ACF5926"/>
    <w:rsid w:val="2EDE7ED5"/>
    <w:rsid w:val="2FBFE725"/>
    <w:rsid w:val="30BD5087"/>
    <w:rsid w:val="337EE9C3"/>
    <w:rsid w:val="35DB76CE"/>
    <w:rsid w:val="360C5D03"/>
    <w:rsid w:val="36570849"/>
    <w:rsid w:val="3797F215"/>
    <w:rsid w:val="37F3D6A1"/>
    <w:rsid w:val="3AAD5055"/>
    <w:rsid w:val="3C409C61"/>
    <w:rsid w:val="3C55C3DC"/>
    <w:rsid w:val="3DD673CC"/>
    <w:rsid w:val="41EA9B01"/>
    <w:rsid w:val="4402240A"/>
    <w:rsid w:val="4546BBD2"/>
    <w:rsid w:val="456421BE"/>
    <w:rsid w:val="49AB7029"/>
    <w:rsid w:val="4AAEEFE3"/>
    <w:rsid w:val="4DAADBE2"/>
    <w:rsid w:val="4E551E08"/>
    <w:rsid w:val="50336BE8"/>
    <w:rsid w:val="5270F65D"/>
    <w:rsid w:val="52B57700"/>
    <w:rsid w:val="547A7281"/>
    <w:rsid w:val="54A94A55"/>
    <w:rsid w:val="5663B42C"/>
    <w:rsid w:val="57AEB852"/>
    <w:rsid w:val="58760644"/>
    <w:rsid w:val="58CD857D"/>
    <w:rsid w:val="616EEFB6"/>
    <w:rsid w:val="65234173"/>
    <w:rsid w:val="652DF0EE"/>
    <w:rsid w:val="66ED2822"/>
    <w:rsid w:val="6821A30A"/>
    <w:rsid w:val="6A45C204"/>
    <w:rsid w:val="708676C2"/>
    <w:rsid w:val="7602338E"/>
    <w:rsid w:val="763DD9AB"/>
    <w:rsid w:val="778FDB5A"/>
    <w:rsid w:val="7800F35F"/>
    <w:rsid w:val="78C401E2"/>
    <w:rsid w:val="79D479DA"/>
    <w:rsid w:val="7A84E6A4"/>
    <w:rsid w:val="7B53CF7B"/>
    <w:rsid w:val="7C3E1AF1"/>
    <w:rsid w:val="7EC8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87FD"/>
  <w15:chartTrackingRefBased/>
  <w15:docId w15:val="{9FC22822-AC04-437A-95FB-02AB6792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90"/>
  </w:style>
  <w:style w:type="paragraph" w:styleId="Heading1">
    <w:name w:val="heading 1"/>
    <w:basedOn w:val="Normal"/>
    <w:next w:val="Normal"/>
    <w:link w:val="Heading1Char"/>
    <w:uiPriority w:val="9"/>
    <w:qFormat/>
    <w:rsid w:val="008A7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A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C90"/>
    <w:rPr>
      <w:color w:val="0563C1" w:themeColor="hyperlink"/>
      <w:u w:val="single"/>
    </w:rPr>
  </w:style>
  <w:style w:type="character" w:styleId="UnresolvedMention">
    <w:name w:val="Unresolved Mention"/>
    <w:basedOn w:val="DefaultParagraphFont"/>
    <w:uiPriority w:val="99"/>
    <w:semiHidden/>
    <w:unhideWhenUsed/>
    <w:rsid w:val="008A7C90"/>
    <w:rPr>
      <w:color w:val="605E5C"/>
      <w:shd w:val="clear" w:color="auto" w:fill="E1DFDD"/>
    </w:rPr>
  </w:style>
  <w:style w:type="paragraph" w:styleId="ListParagraph">
    <w:name w:val="List Paragraph"/>
    <w:basedOn w:val="Normal"/>
    <w:uiPriority w:val="34"/>
    <w:qFormat/>
    <w:rsid w:val="00871F97"/>
    <w:pPr>
      <w:spacing w:after="0" w:line="240" w:lineRule="auto"/>
      <w:ind w:left="720"/>
      <w:contextualSpacing/>
    </w:pPr>
    <w:rPr>
      <w:rFonts w:ascii="Times New Roman" w:hAnsi="Times New Roman"/>
      <w:sz w:val="24"/>
    </w:rPr>
  </w:style>
  <w:style w:type="paragraph" w:styleId="CommentText">
    <w:name w:val="annotation text"/>
    <w:basedOn w:val="Normal"/>
    <w:link w:val="CommentTextChar"/>
    <w:uiPriority w:val="99"/>
    <w:unhideWhenUsed/>
    <w:rsid w:val="00AC32C1"/>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AC32C1"/>
    <w:rPr>
      <w:rFonts w:ascii="Calibri" w:hAnsi="Calibri" w:cs="Calibri"/>
      <w:sz w:val="20"/>
      <w:szCs w:val="20"/>
    </w:rPr>
  </w:style>
  <w:style w:type="character" w:styleId="CommentReference">
    <w:name w:val="annotation reference"/>
    <w:basedOn w:val="DefaultParagraphFont"/>
    <w:uiPriority w:val="99"/>
    <w:semiHidden/>
    <w:unhideWhenUsed/>
    <w:rsid w:val="002804C3"/>
    <w:rPr>
      <w:sz w:val="16"/>
      <w:szCs w:val="16"/>
    </w:rPr>
  </w:style>
  <w:style w:type="paragraph" w:styleId="CommentSubject">
    <w:name w:val="annotation subject"/>
    <w:basedOn w:val="CommentText"/>
    <w:next w:val="CommentText"/>
    <w:link w:val="CommentSubjectChar"/>
    <w:uiPriority w:val="99"/>
    <w:semiHidden/>
    <w:unhideWhenUsed/>
    <w:rsid w:val="00A36DB6"/>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36DB6"/>
    <w:rPr>
      <w:rFonts w:ascii="Calibri" w:hAnsi="Calibri" w:cs="Calibri"/>
      <w:b/>
      <w:bCs/>
      <w:sz w:val="20"/>
      <w:szCs w:val="20"/>
    </w:rPr>
  </w:style>
  <w:style w:type="character" w:styleId="Mention">
    <w:name w:val="Mention"/>
    <w:basedOn w:val="DefaultParagraphFont"/>
    <w:uiPriority w:val="99"/>
    <w:unhideWhenUsed/>
    <w:rsid w:val="004E3308"/>
    <w:rPr>
      <w:color w:val="2B579A"/>
      <w:shd w:val="clear" w:color="auto" w:fill="E1DFDD"/>
    </w:rPr>
  </w:style>
  <w:style w:type="character" w:customStyle="1" w:styleId="cf01">
    <w:name w:val="cf01"/>
    <w:basedOn w:val="DefaultParagraphFont"/>
    <w:rsid w:val="00745595"/>
    <w:rPr>
      <w:rFonts w:ascii="Segoe UI" w:hAnsi="Segoe UI" w:cs="Segoe UI" w:hint="default"/>
      <w:sz w:val="18"/>
      <w:szCs w:val="18"/>
    </w:rPr>
  </w:style>
  <w:style w:type="character" w:customStyle="1" w:styleId="cf11">
    <w:name w:val="cf11"/>
    <w:basedOn w:val="DefaultParagraphFont"/>
    <w:rsid w:val="00745595"/>
    <w:rPr>
      <w:rFonts w:ascii="Segoe UI" w:hAnsi="Segoe UI" w:cs="Segoe UI" w:hint="default"/>
      <w:i/>
      <w:iCs/>
      <w:sz w:val="18"/>
      <w:szCs w:val="18"/>
    </w:rPr>
  </w:style>
  <w:style w:type="paragraph" w:customStyle="1" w:styleId="pf0">
    <w:name w:val="pf0"/>
    <w:basedOn w:val="Normal"/>
    <w:rsid w:val="002E4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efaultParagraphFont"/>
    <w:rsid w:val="002E4085"/>
    <w:rPr>
      <w:rFonts w:ascii="Segoe UI" w:hAnsi="Segoe UI" w:cs="Segoe UI" w:hint="default"/>
      <w:color w:val="2F5597"/>
      <w:sz w:val="18"/>
      <w:szCs w:val="18"/>
    </w:rPr>
  </w:style>
  <w:style w:type="paragraph" w:styleId="Subtitle">
    <w:name w:val="Subtitle"/>
    <w:basedOn w:val="Normal"/>
    <w:next w:val="Normal"/>
    <w:link w:val="SubtitleChar"/>
    <w:uiPriority w:val="11"/>
    <w:qFormat/>
    <w:rsid w:val="003B488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488E"/>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73137">
      <w:bodyDiv w:val="1"/>
      <w:marLeft w:val="0"/>
      <w:marRight w:val="0"/>
      <w:marTop w:val="0"/>
      <w:marBottom w:val="0"/>
      <w:divBdr>
        <w:top w:val="none" w:sz="0" w:space="0" w:color="auto"/>
        <w:left w:val="none" w:sz="0" w:space="0" w:color="auto"/>
        <w:bottom w:val="none" w:sz="0" w:space="0" w:color="auto"/>
        <w:right w:val="none" w:sz="0" w:space="0" w:color="auto"/>
      </w:divBdr>
    </w:div>
    <w:div w:id="1557474755">
      <w:bodyDiv w:val="1"/>
      <w:marLeft w:val="0"/>
      <w:marRight w:val="0"/>
      <w:marTop w:val="0"/>
      <w:marBottom w:val="0"/>
      <w:divBdr>
        <w:top w:val="none" w:sz="0" w:space="0" w:color="auto"/>
        <w:left w:val="none" w:sz="0" w:space="0" w:color="auto"/>
        <w:bottom w:val="none" w:sz="0" w:space="0" w:color="auto"/>
        <w:right w:val="none" w:sz="0" w:space="0" w:color="auto"/>
      </w:divBdr>
    </w:div>
    <w:div w:id="1738015141">
      <w:bodyDiv w:val="1"/>
      <w:marLeft w:val="0"/>
      <w:marRight w:val="0"/>
      <w:marTop w:val="0"/>
      <w:marBottom w:val="0"/>
      <w:divBdr>
        <w:top w:val="none" w:sz="0" w:space="0" w:color="auto"/>
        <w:left w:val="none" w:sz="0" w:space="0" w:color="auto"/>
        <w:bottom w:val="none" w:sz="0" w:space="0" w:color="auto"/>
        <w:right w:val="none" w:sz="0" w:space="0" w:color="auto"/>
      </w:divBdr>
    </w:div>
    <w:div w:id="18577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ff4921-412d-45d2-b1ac-cbf2a0679688" xsi:nil="true"/>
    <lcf76f155ced4ddcb4097134ff3c332f xmlns="1ee7bf92-148e-4517-bc7a-e930743238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B2DEADD5787439DCBCC516FB4010C" ma:contentTypeVersion="15" ma:contentTypeDescription="Create a new document." ma:contentTypeScope="" ma:versionID="65c871d5aa28ad37370039215413c01c">
  <xsd:schema xmlns:xsd="http://www.w3.org/2001/XMLSchema" xmlns:xs="http://www.w3.org/2001/XMLSchema" xmlns:p="http://schemas.microsoft.com/office/2006/metadata/properties" xmlns:ns2="1ee7bf92-148e-4517-bc7a-e930743238bc" xmlns:ns3="d5ff4921-412d-45d2-b1ac-cbf2a0679688" targetNamespace="http://schemas.microsoft.com/office/2006/metadata/properties" ma:root="true" ma:fieldsID="31468412c8733990cfe2198c981f96d2" ns2:_="" ns3:_="">
    <xsd:import namespace="1ee7bf92-148e-4517-bc7a-e930743238bc"/>
    <xsd:import namespace="d5ff4921-412d-45d2-b1ac-cbf2a06796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7bf92-148e-4517-bc7a-e93074323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ff4921-412d-45d2-b1ac-cbf2a06796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e603a3-dd12-4b85-8d58-71daaeeb1825}" ma:internalName="TaxCatchAll" ma:showField="CatchAllData" ma:web="d5ff4921-412d-45d2-b1ac-cbf2a0679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88A28-5B10-48BE-B8D6-480C75C53C84}">
  <ds:schemaRefs>
    <ds:schemaRef ds:uri="http://schemas.microsoft.com/office/2006/metadata/properties"/>
    <ds:schemaRef ds:uri="http://schemas.microsoft.com/office/infopath/2007/PartnerControls"/>
    <ds:schemaRef ds:uri="d5ff4921-412d-45d2-b1ac-cbf2a0679688"/>
    <ds:schemaRef ds:uri="1ee7bf92-148e-4517-bc7a-e930743238bc"/>
  </ds:schemaRefs>
</ds:datastoreItem>
</file>

<file path=customXml/itemProps2.xml><?xml version="1.0" encoding="utf-8"?>
<ds:datastoreItem xmlns:ds="http://schemas.openxmlformats.org/officeDocument/2006/customXml" ds:itemID="{422B8E45-4B7B-44CA-883D-6EABF409C33D}">
  <ds:schemaRefs>
    <ds:schemaRef ds:uri="http://schemas.microsoft.com/sharepoint/v3/contenttype/forms"/>
  </ds:schemaRefs>
</ds:datastoreItem>
</file>

<file path=customXml/itemProps3.xml><?xml version="1.0" encoding="utf-8"?>
<ds:datastoreItem xmlns:ds="http://schemas.openxmlformats.org/officeDocument/2006/customXml" ds:itemID="{CB72CAB1-9940-4555-BBD8-BA9540831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7bf92-148e-4517-bc7a-e930743238bc"/>
    <ds:schemaRef ds:uri="d5ff4921-412d-45d2-b1ac-cbf2a0679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E Parker</dc:creator>
  <cp:keywords/>
  <dc:description/>
  <cp:lastModifiedBy>Natalie A Tran</cp:lastModifiedBy>
  <cp:revision>4</cp:revision>
  <dcterms:created xsi:type="dcterms:W3CDTF">2026-02-12T22:18:00Z</dcterms:created>
  <dcterms:modified xsi:type="dcterms:W3CDTF">2026-05-05T21:21:00Z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0x010100B58B2DEADD5787439DCBCC516FB4010C</vt:lpwstr>
  </property>
  <property fmtid="{D5CDD505-2E9C-101B-9397-08002B2CF9AE}" pid="3" name="MediaServiceImageTags">
    <vt:lpwstr/>
  </property>
</Properties>
</file>