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0146" w14:textId="77777777" w:rsidR="003E4FB7" w:rsidRPr="00170CB0" w:rsidRDefault="003E4FB7" w:rsidP="003E4FB7">
      <w:pPr>
        <w:spacing w:after="0" w:line="240" w:lineRule="auto"/>
        <w:outlineLvl w:val="0"/>
        <w:rPr>
          <w:rFonts w:eastAsia="Cambria" w:cstheme="minorHAnsi"/>
          <w:b/>
          <w:bCs/>
          <w:color w:val="4472C4" w:themeColor="accent1"/>
          <w:sz w:val="24"/>
          <w:szCs w:val="24"/>
        </w:rPr>
      </w:pPr>
      <w:r w:rsidRPr="00170CB0">
        <w:rPr>
          <w:rFonts w:eastAsia="Cambria" w:cstheme="minorHAnsi"/>
          <w:b/>
          <w:bCs/>
          <w:color w:val="4472C4" w:themeColor="accent1"/>
          <w:sz w:val="24"/>
          <w:szCs w:val="24"/>
        </w:rPr>
        <w:t xml:space="preserve">Attainment of </w:t>
      </w:r>
      <w:proofErr w:type="gramStart"/>
      <w:r w:rsidRPr="00170CB0">
        <w:rPr>
          <w:rFonts w:eastAsia="Cambria" w:cstheme="minorHAnsi"/>
          <w:b/>
          <w:bCs/>
          <w:color w:val="4472C4" w:themeColor="accent1"/>
          <w:sz w:val="24"/>
          <w:szCs w:val="24"/>
        </w:rPr>
        <w:t>Low Density</w:t>
      </w:r>
      <w:proofErr w:type="gramEnd"/>
      <w:r w:rsidRPr="00170CB0">
        <w:rPr>
          <w:rFonts w:eastAsia="Cambria" w:cstheme="minorHAnsi"/>
          <w:b/>
          <w:bCs/>
          <w:color w:val="4472C4" w:themeColor="accent1"/>
          <w:sz w:val="24"/>
          <w:szCs w:val="24"/>
        </w:rPr>
        <w:t xml:space="preserve"> Lipoprotein Cholesterol (LDL-C) Target after a Major Coronary Event: Care Gap, Associated Factors and Clinical Outcomes in a Large Integrated Health Care Delivery System. </w:t>
      </w:r>
    </w:p>
    <w:p w14:paraId="367F284A" w14:textId="77777777" w:rsidR="003E4FB7" w:rsidRPr="004C0082" w:rsidRDefault="003E4FB7" w:rsidP="00D24534">
      <w:pPr>
        <w:spacing w:after="0"/>
        <w:rPr>
          <w:rFonts w:cstheme="minorHAnsi"/>
        </w:rPr>
      </w:pPr>
    </w:p>
    <w:p w14:paraId="1AE499B0" w14:textId="49AE50E0" w:rsidR="00262AE4" w:rsidRPr="004C0082" w:rsidRDefault="00262AE4" w:rsidP="00262AE4">
      <w:pPr>
        <w:spacing w:after="0" w:line="240" w:lineRule="auto"/>
        <w:rPr>
          <w:rFonts w:eastAsia="Cambria" w:cstheme="minorHAnsi"/>
          <w:bCs/>
        </w:rPr>
      </w:pPr>
      <w:r w:rsidRPr="004C0082">
        <w:rPr>
          <w:rFonts w:eastAsia="Cambria" w:cstheme="minorHAnsi"/>
          <w:bCs/>
        </w:rPr>
        <w:t>Carlos Iribarren, MD, MPH, PhD</w:t>
      </w:r>
      <w:r w:rsidRPr="004C0082">
        <w:rPr>
          <w:rFonts w:eastAsia="Cambria" w:cstheme="minorHAnsi"/>
          <w:bCs/>
          <w:vertAlign w:val="superscript"/>
        </w:rPr>
        <w:t>1</w:t>
      </w:r>
      <w:r w:rsidR="00170CB0">
        <w:rPr>
          <w:rFonts w:eastAsia="Cambria" w:cstheme="minorHAnsi"/>
          <w:bCs/>
        </w:rPr>
        <w:t xml:space="preserve">, </w:t>
      </w:r>
      <w:r w:rsidRPr="004C0082">
        <w:rPr>
          <w:rFonts w:eastAsia="Cambria" w:cstheme="minorHAnsi"/>
          <w:bCs/>
        </w:rPr>
        <w:t>Meng Lu, MD, MS</w:t>
      </w:r>
      <w:r w:rsidRPr="004C0082">
        <w:rPr>
          <w:rFonts w:eastAsia="Cambria" w:cstheme="minorHAnsi"/>
          <w:bCs/>
          <w:vertAlign w:val="superscript"/>
        </w:rPr>
        <w:t>1</w:t>
      </w:r>
      <w:r w:rsidR="00170CB0">
        <w:rPr>
          <w:rFonts w:eastAsia="Cambria" w:cstheme="minorHAnsi"/>
          <w:bCs/>
        </w:rPr>
        <w:t xml:space="preserve">, </w:t>
      </w:r>
      <w:r w:rsidRPr="004C0082">
        <w:rPr>
          <w:rFonts w:eastAsia="Cambria" w:cstheme="minorHAnsi"/>
          <w:bCs/>
        </w:rPr>
        <w:t>Alan S. Go, MD</w:t>
      </w:r>
      <w:proofErr w:type="gramStart"/>
      <w:r w:rsidRPr="004C0082">
        <w:rPr>
          <w:rFonts w:eastAsia="Cambria" w:cstheme="minorHAnsi"/>
          <w:bCs/>
          <w:vertAlign w:val="superscript"/>
        </w:rPr>
        <w:t>1</w:t>
      </w:r>
      <w:r w:rsidRPr="004C0082">
        <w:rPr>
          <w:rFonts w:eastAsia="Cambria" w:cstheme="minorHAnsi"/>
          <w:bCs/>
        </w:rPr>
        <w:t xml:space="preserve"> </w:t>
      </w:r>
      <w:bookmarkStart w:id="0" w:name="_Hlk129427586"/>
      <w:r w:rsidR="00170CB0">
        <w:rPr>
          <w:rFonts w:eastAsia="Cambria" w:cstheme="minorHAnsi"/>
          <w:bCs/>
        </w:rPr>
        <w:t>,</w:t>
      </w:r>
      <w:proofErr w:type="gramEnd"/>
      <w:r w:rsidR="00170CB0">
        <w:rPr>
          <w:rFonts w:eastAsia="Cambria" w:cstheme="minorHAnsi"/>
          <w:bCs/>
        </w:rPr>
        <w:t xml:space="preserve"> </w:t>
      </w:r>
      <w:r w:rsidRPr="004C0082">
        <w:rPr>
          <w:rFonts w:eastAsia="Cambria" w:cstheme="minorHAnsi"/>
          <w:bCs/>
        </w:rPr>
        <w:t>Jamal S. Rana, MD, PhD</w:t>
      </w:r>
      <w:r w:rsidRPr="004C0082">
        <w:rPr>
          <w:rFonts w:eastAsia="Cambria" w:cstheme="minorHAnsi"/>
          <w:bCs/>
          <w:vertAlign w:val="superscript"/>
        </w:rPr>
        <w:t>2</w:t>
      </w:r>
      <w:r w:rsidR="00170CB0">
        <w:rPr>
          <w:rFonts w:eastAsia="Cambria" w:cstheme="minorHAnsi"/>
          <w:bCs/>
        </w:rPr>
        <w:t xml:space="preserve">, </w:t>
      </w:r>
      <w:r w:rsidRPr="004C0082">
        <w:rPr>
          <w:rFonts w:eastAsia="Cambria" w:cstheme="minorHAnsi"/>
          <w:bCs/>
        </w:rPr>
        <w:t>Karry Ngai, MD</w:t>
      </w:r>
      <w:r w:rsidRPr="004C0082">
        <w:rPr>
          <w:rFonts w:eastAsia="Cambria" w:cstheme="minorHAnsi"/>
          <w:bCs/>
          <w:vertAlign w:val="superscript"/>
        </w:rPr>
        <w:t>3</w:t>
      </w:r>
      <w:r w:rsidRPr="004C0082">
        <w:rPr>
          <w:rFonts w:eastAsia="Cambria" w:cstheme="minorHAnsi"/>
          <w:bCs/>
        </w:rPr>
        <w:t xml:space="preserve"> </w:t>
      </w:r>
      <w:bookmarkEnd w:id="0"/>
    </w:p>
    <w:p w14:paraId="7D76C285" w14:textId="49153521" w:rsidR="00BA2786" w:rsidRPr="00170CB0" w:rsidRDefault="00262AE4" w:rsidP="00170CB0">
      <w:pPr>
        <w:spacing w:after="0" w:line="240" w:lineRule="auto"/>
        <w:rPr>
          <w:rFonts w:eastAsia="Cambria" w:cstheme="minorHAnsi"/>
          <w:bCs/>
        </w:rPr>
      </w:pPr>
      <w:r w:rsidRPr="004C0082">
        <w:rPr>
          <w:rFonts w:eastAsia="Cambria" w:cstheme="minorHAnsi"/>
          <w:bCs/>
        </w:rPr>
        <w:t>Adam Rogers, MD</w:t>
      </w:r>
      <w:r w:rsidRPr="004C0082">
        <w:rPr>
          <w:rFonts w:eastAsia="Cambria" w:cstheme="minorHAnsi"/>
          <w:bCs/>
          <w:vertAlign w:val="superscript"/>
        </w:rPr>
        <w:t>4</w:t>
      </w:r>
      <w:r w:rsidRPr="004C0082">
        <w:rPr>
          <w:rFonts w:eastAsia="Cambria" w:cstheme="minorHAnsi"/>
          <w:bCs/>
        </w:rPr>
        <w:t xml:space="preserve">               </w:t>
      </w:r>
    </w:p>
    <w:tbl>
      <w:tblPr>
        <w:tblStyle w:val="TableGrid"/>
        <w:tblpPr w:leftFromText="180" w:rightFromText="180" w:vertAnchor="page" w:horzAnchor="margin" w:tblpY="2581"/>
        <w:tblW w:w="10705" w:type="dxa"/>
        <w:tblLook w:val="04A0" w:firstRow="1" w:lastRow="0" w:firstColumn="1" w:lastColumn="0" w:noHBand="0" w:noVBand="1"/>
      </w:tblPr>
      <w:tblGrid>
        <w:gridCol w:w="1975"/>
        <w:gridCol w:w="8730"/>
      </w:tblGrid>
      <w:tr w:rsidR="008E6D2C" w:rsidRPr="008E6D2C" w14:paraId="307289BF" w14:textId="77777777" w:rsidTr="00C73A94">
        <w:trPr>
          <w:trHeight w:val="816"/>
        </w:trPr>
        <w:tc>
          <w:tcPr>
            <w:tcW w:w="1975" w:type="dxa"/>
          </w:tcPr>
          <w:p w14:paraId="2C7E2D09" w14:textId="77777777" w:rsidR="0048655A" w:rsidRPr="008E6D2C" w:rsidRDefault="0048655A" w:rsidP="0048655A">
            <w:pPr>
              <w:spacing w:line="259" w:lineRule="auto"/>
            </w:pPr>
            <w:bookmarkStart w:id="1" w:name="_Hlk54105970"/>
            <w:r w:rsidRPr="008E6D2C">
              <w:t>Challenge</w:t>
            </w:r>
          </w:p>
        </w:tc>
        <w:tc>
          <w:tcPr>
            <w:tcW w:w="8730" w:type="dxa"/>
          </w:tcPr>
          <w:p w14:paraId="7F9273D4" w14:textId="1C2E03EA" w:rsidR="0048655A" w:rsidRPr="008E6D2C" w:rsidRDefault="00FF0A8B" w:rsidP="0048655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Ascertain the extent of a major care gap in secondary prevention of CAD</w:t>
            </w:r>
            <w:r w:rsidR="00AB38C7">
              <w:rPr>
                <w:b/>
                <w:bCs/>
              </w:rPr>
              <w:t>, its associated factors and downstream consequences.</w:t>
            </w:r>
            <w:r w:rsidR="0048655A" w:rsidRPr="008E6D2C">
              <w:rPr>
                <w:b/>
                <w:bCs/>
              </w:rPr>
              <w:t xml:space="preserve">  </w:t>
            </w:r>
          </w:p>
        </w:tc>
      </w:tr>
      <w:tr w:rsidR="008E6D2C" w:rsidRPr="008E6D2C" w14:paraId="67D435C8" w14:textId="77777777" w:rsidTr="00C73A94">
        <w:trPr>
          <w:trHeight w:val="1091"/>
        </w:trPr>
        <w:tc>
          <w:tcPr>
            <w:tcW w:w="1975" w:type="dxa"/>
          </w:tcPr>
          <w:p w14:paraId="351B366F" w14:textId="77777777" w:rsidR="0048655A" w:rsidRPr="008E6D2C" w:rsidRDefault="0048655A" w:rsidP="0048655A">
            <w:pPr>
              <w:spacing w:line="259" w:lineRule="auto"/>
            </w:pPr>
            <w:r w:rsidRPr="008E6D2C">
              <w:t>Existing Evidence</w:t>
            </w:r>
          </w:p>
        </w:tc>
        <w:tc>
          <w:tcPr>
            <w:tcW w:w="8730" w:type="dxa"/>
          </w:tcPr>
          <w:p w14:paraId="70041630" w14:textId="7DFFF146" w:rsidR="0048655A" w:rsidRPr="002371C0" w:rsidRDefault="0070505B" w:rsidP="0048655A">
            <w:pPr>
              <w:spacing w:line="259" w:lineRule="auto"/>
              <w:rPr>
                <w:rFonts w:cstheme="minorHAnsi"/>
              </w:rPr>
            </w:pPr>
            <w:r w:rsidRPr="002371C0">
              <w:rPr>
                <w:rFonts w:eastAsia="Times New Roman" w:cstheme="minorHAnsi"/>
                <w:color w:val="333333"/>
              </w:rPr>
              <w:t xml:space="preserve">Despite established evidence that lowering low density lipoprotein cholesterol (LDL-C) below a target of 70 mg/dL is beneficial for patients with known atherosclerotic cardiovascular disease (ASCVD), in real world settings a significant proportion of them do not achieve this goal.       </w:t>
            </w:r>
            <w:r w:rsidR="0048655A" w:rsidRPr="002371C0">
              <w:rPr>
                <w:rFonts w:cstheme="minorHAnsi"/>
              </w:rPr>
              <w:t xml:space="preserve"> </w:t>
            </w:r>
          </w:p>
        </w:tc>
      </w:tr>
      <w:tr w:rsidR="008E6D2C" w:rsidRPr="008E6D2C" w14:paraId="136E6453" w14:textId="77777777" w:rsidTr="00C73A94">
        <w:trPr>
          <w:trHeight w:val="262"/>
        </w:trPr>
        <w:tc>
          <w:tcPr>
            <w:tcW w:w="1975" w:type="dxa"/>
          </w:tcPr>
          <w:p w14:paraId="53202DB8" w14:textId="77777777" w:rsidR="0048655A" w:rsidRPr="008E6D2C" w:rsidRDefault="0048655A" w:rsidP="0048655A">
            <w:pPr>
              <w:spacing w:line="259" w:lineRule="auto"/>
            </w:pPr>
            <w:r w:rsidRPr="008E6D2C">
              <w:t>Target Population</w:t>
            </w:r>
          </w:p>
        </w:tc>
        <w:tc>
          <w:tcPr>
            <w:tcW w:w="8730" w:type="dxa"/>
          </w:tcPr>
          <w:p w14:paraId="1486D38C" w14:textId="48DEB06C" w:rsidR="0048655A" w:rsidRPr="002371C0" w:rsidRDefault="00810EDB" w:rsidP="0048655A">
            <w:pPr>
              <w:spacing w:line="259" w:lineRule="auto"/>
              <w:rPr>
                <w:rFonts w:cstheme="minorHAnsi"/>
              </w:rPr>
            </w:pPr>
            <w:r w:rsidRPr="002371C0">
              <w:rPr>
                <w:rFonts w:cstheme="minorHAnsi"/>
              </w:rPr>
              <w:t xml:space="preserve">Adult KPNC members with a prior acute myocardial infarction and/or coronary revascularization procedure </w:t>
            </w:r>
          </w:p>
        </w:tc>
      </w:tr>
      <w:tr w:rsidR="008E6D2C" w:rsidRPr="008E6D2C" w14:paraId="5B80BED5" w14:textId="77777777" w:rsidTr="00C73A94">
        <w:trPr>
          <w:trHeight w:val="276"/>
        </w:trPr>
        <w:tc>
          <w:tcPr>
            <w:tcW w:w="1975" w:type="dxa"/>
          </w:tcPr>
          <w:p w14:paraId="0D0B7C0D" w14:textId="77777777" w:rsidR="0048655A" w:rsidRPr="008E6D2C" w:rsidRDefault="0048655A" w:rsidP="0048655A">
            <w:pPr>
              <w:spacing w:line="259" w:lineRule="auto"/>
            </w:pPr>
            <w:r w:rsidRPr="008E6D2C">
              <w:t>Intervention or Exposure</w:t>
            </w:r>
          </w:p>
        </w:tc>
        <w:tc>
          <w:tcPr>
            <w:tcW w:w="8730" w:type="dxa"/>
          </w:tcPr>
          <w:p w14:paraId="0CA2C589" w14:textId="603497B8" w:rsidR="0048655A" w:rsidRPr="002371C0" w:rsidRDefault="00D5098C" w:rsidP="0048655A">
            <w:pPr>
              <w:spacing w:line="259" w:lineRule="auto"/>
              <w:rPr>
                <w:rFonts w:cstheme="minorHAnsi"/>
              </w:rPr>
            </w:pPr>
            <w:r w:rsidRPr="002371C0">
              <w:rPr>
                <w:rFonts w:cstheme="minorHAnsi"/>
              </w:rPr>
              <w:t>Degree of LDL-C control (target=&lt;70 mg/dL)</w:t>
            </w:r>
          </w:p>
        </w:tc>
      </w:tr>
      <w:tr w:rsidR="008E6D2C" w:rsidRPr="008E6D2C" w14:paraId="13978FD3" w14:textId="77777777" w:rsidTr="00C73A94">
        <w:trPr>
          <w:trHeight w:val="2282"/>
        </w:trPr>
        <w:tc>
          <w:tcPr>
            <w:tcW w:w="1975" w:type="dxa"/>
          </w:tcPr>
          <w:p w14:paraId="7525D5B4" w14:textId="77777777" w:rsidR="0048655A" w:rsidRPr="008E6D2C" w:rsidRDefault="0048655A" w:rsidP="0048655A">
            <w:pPr>
              <w:spacing w:line="259" w:lineRule="auto"/>
              <w:rPr>
                <w:b/>
                <w:bCs/>
              </w:rPr>
            </w:pPr>
            <w:r w:rsidRPr="008E6D2C">
              <w:rPr>
                <w:b/>
                <w:bCs/>
              </w:rPr>
              <w:t>Outcomes/Key Findings</w:t>
            </w:r>
          </w:p>
        </w:tc>
        <w:tc>
          <w:tcPr>
            <w:tcW w:w="8730" w:type="dxa"/>
          </w:tcPr>
          <w:p w14:paraId="4D40AABC" w14:textId="77777777" w:rsidR="00243268" w:rsidRPr="002371C0" w:rsidRDefault="00243268" w:rsidP="00243268">
            <w:pPr>
              <w:spacing w:after="300" w:line="480" w:lineRule="auto"/>
              <w:rPr>
                <w:rFonts w:eastAsia="Times New Roman" w:cstheme="minorHAnsi"/>
                <w:color w:val="333333"/>
              </w:rPr>
            </w:pPr>
            <w:r w:rsidRPr="002371C0">
              <w:rPr>
                <w:rFonts w:eastAsia="Times New Roman" w:cstheme="minorHAnsi"/>
                <w:b/>
                <w:bCs/>
                <w:color w:val="000000"/>
              </w:rPr>
              <w:t>Main Outcome(s) and Measure(s):</w:t>
            </w:r>
            <w:r w:rsidRPr="002371C0">
              <w:rPr>
                <w:rFonts w:eastAsia="Times New Roman" w:cstheme="minorHAnsi"/>
                <w:color w:val="333333"/>
              </w:rPr>
              <w:t xml:space="preserve"> ASCVD (acute myocardial infarction, coronary revascularization, ischemic stroke, coronary heart disease [CHD] death) and composite CVD (ASCVD, heart failure, peripheral vascular disease, CVD death).  </w:t>
            </w:r>
          </w:p>
          <w:p w14:paraId="3CD35CB0" w14:textId="4668EC9D" w:rsidR="0048655A" w:rsidRPr="002371C0" w:rsidRDefault="00243268" w:rsidP="002371C0">
            <w:pPr>
              <w:spacing w:line="480" w:lineRule="auto"/>
              <w:rPr>
                <w:rFonts w:cstheme="minorHAnsi"/>
              </w:rPr>
            </w:pPr>
            <w:r w:rsidRPr="002371C0">
              <w:rPr>
                <w:rFonts w:eastAsia="Times New Roman" w:cstheme="minorHAnsi"/>
                <w:b/>
                <w:bCs/>
                <w:color w:val="000000"/>
              </w:rPr>
              <w:t>Results:</w:t>
            </w:r>
            <w:r w:rsidRPr="002371C0">
              <w:rPr>
                <w:rFonts w:eastAsia="Times New Roman" w:cstheme="minorHAnsi"/>
                <w:color w:val="333333"/>
              </w:rPr>
              <w:t> The m</w:t>
            </w:r>
            <w:r w:rsidRPr="002371C0">
              <w:rPr>
                <w:rFonts w:eastAsia="Cambria" w:cstheme="minorHAnsi"/>
                <w:bCs/>
              </w:rPr>
              <w:t xml:space="preserve">ean (SD) age of the cohort was 66 (12) years; 72% was male; 58% white, 6% African American, 19% Asian/Pacific Islander, 13% Hispanic/Latino and 3.5% other/mixed/unknown race.  In the entire cohort, 12% lacked LDL-C measures in year 1 and then this proportion increased gradually from 44% in year 2 until reaching 64% in year 10.  The proportion attaining target LDL-C of &lt; 70 mg/dL was 67% in year 1 and then fluctuated between 57 and 60% in years 2 through 10.  Women and individuals of African American race/ethnicity showed lower proportions attaining LDL-C target.  Full completion of the cardiac rehabilitation program was associated with 56% reduction in the odds of not achieving LDL-C target of &gt;70 mg/dL (partial completion with 33% reduction).  There was a dose-response relationship of increasing average LDL-C post-index event with hazard of ASCVD, with fully-adjusted hazard ratios (relative to &lt;70 mg/dL) of 1.15 (95% CI, 1.11-1.19), 1.45 (95% CI, 1.37-1.53), 1.81 (95% CI, 1.66-1.98, and 2.41 (95% CI, 2.13-2.72) for LDL-C categories of 70-99, 100-129, 130-159 and ≥ 160 mg/dL, respectively.  Corresponding estimates for composite CVD </w:t>
            </w:r>
            <w:r w:rsidRPr="002371C0">
              <w:rPr>
                <w:rFonts w:eastAsia="Cambria" w:cstheme="minorHAnsi"/>
                <w:bCs/>
              </w:rPr>
              <w:lastRenderedPageBreak/>
              <w:t xml:space="preserve">were 1.09 (95% CI, 1.05-1.13), 1.34 (95% CI, 1.28-1.41), 1.62 (95% CI, 1.49-1.75) and 2.15 (95% CI, 1.92-2.40. The hazard ratios (95% CI) associated with achieving target of &lt; 70 mg/dL (relative to ≥ 70 mg/dL) were 0.79 (95% CI, 0.77-0.82; p&lt;0.001) for ASCVD and 0.84 (95% CI, 0.82-0.87; p&lt;0.001) for composite CVD. The estimated number needed to treat (NNT) to prevent 1 event was 19.7 for ASCVD and 26.3 for composite CVD.  </w:t>
            </w:r>
          </w:p>
        </w:tc>
      </w:tr>
      <w:tr w:rsidR="008E6D2C" w:rsidRPr="008E6D2C" w14:paraId="62542513" w14:textId="77777777" w:rsidTr="00C73A94">
        <w:trPr>
          <w:trHeight w:val="816"/>
        </w:trPr>
        <w:tc>
          <w:tcPr>
            <w:tcW w:w="1975" w:type="dxa"/>
          </w:tcPr>
          <w:p w14:paraId="38755ADC" w14:textId="77777777" w:rsidR="0048655A" w:rsidRPr="008E6D2C" w:rsidRDefault="0048655A" w:rsidP="0048655A">
            <w:pPr>
              <w:spacing w:line="259" w:lineRule="auto"/>
              <w:rPr>
                <w:b/>
                <w:bCs/>
              </w:rPr>
            </w:pPr>
            <w:r w:rsidRPr="008E6D2C">
              <w:rPr>
                <w:b/>
                <w:bCs/>
              </w:rPr>
              <w:lastRenderedPageBreak/>
              <w:t>Resulting Action/Change</w:t>
            </w:r>
          </w:p>
        </w:tc>
        <w:tc>
          <w:tcPr>
            <w:tcW w:w="8730" w:type="dxa"/>
          </w:tcPr>
          <w:p w14:paraId="092B6F29" w14:textId="14EEF6F4" w:rsidR="0048655A" w:rsidRPr="002371C0" w:rsidRDefault="0050738F" w:rsidP="0048655A">
            <w:pPr>
              <w:spacing w:line="259" w:lineRule="auto"/>
              <w:rPr>
                <w:rFonts w:cstheme="minorHAnsi"/>
                <w:b/>
                <w:bCs/>
              </w:rPr>
            </w:pPr>
            <w:r w:rsidRPr="002371C0">
              <w:rPr>
                <w:rFonts w:eastAsia="Times New Roman" w:cstheme="minorHAnsi"/>
                <w:color w:val="333333"/>
              </w:rPr>
              <w:t xml:space="preserve">We identified significant care gaps in LDL-C testing and in attainment of current LDL-C treatment goals post MACE.  Furthermore, we document significant sex and race/ethnicity inequities in achieving LDL-C target.  Not meeting the target goal was associated with clinically meaningful increased risk of incident ASCVD and composite CVD among patients who had already experienced a MACE.  These results add impetus to efforts to improve LDL-C target control.    </w:t>
            </w:r>
          </w:p>
        </w:tc>
      </w:tr>
      <w:tr w:rsidR="008E6D2C" w:rsidRPr="008E6D2C" w14:paraId="57800790" w14:textId="77777777" w:rsidTr="00C73A94">
        <w:trPr>
          <w:trHeight w:val="816"/>
        </w:trPr>
        <w:tc>
          <w:tcPr>
            <w:tcW w:w="1975" w:type="dxa"/>
          </w:tcPr>
          <w:p w14:paraId="6C4E04AC" w14:textId="161310DB" w:rsidR="00CB0455" w:rsidRPr="008E6D2C" w:rsidRDefault="00CB0455" w:rsidP="0048655A">
            <w:r w:rsidRPr="008E6D2C">
              <w:t>Additional Recommendations</w:t>
            </w:r>
          </w:p>
        </w:tc>
        <w:tc>
          <w:tcPr>
            <w:tcW w:w="8730" w:type="dxa"/>
          </w:tcPr>
          <w:p w14:paraId="08163871" w14:textId="467420C0" w:rsidR="00CB0455" w:rsidRPr="002371C0" w:rsidRDefault="00264D52" w:rsidP="0048655A">
            <w:pPr>
              <w:rPr>
                <w:rFonts w:cstheme="minorHAnsi"/>
              </w:rPr>
            </w:pPr>
            <w:r>
              <w:rPr>
                <w:rFonts w:cstheme="minorHAnsi"/>
              </w:rPr>
              <w:t>We would like to engage in discussions with TPMG leadership about potential strategies for acting on these findings.  This could include technology changes (such as a banner notifying specific doctors when LDL is above target in secondary prevention patients) or a program of patient outreach where non-physician staff (with physician supervision) are tasked with contacting the appropriate patients to encourage LDL testing and adjustments to medication therapy as needed.</w:t>
            </w:r>
          </w:p>
        </w:tc>
      </w:tr>
      <w:tr w:rsidR="008E6D2C" w:rsidRPr="008E6D2C" w14:paraId="21F6FB6D" w14:textId="77777777" w:rsidTr="00C73A94">
        <w:trPr>
          <w:trHeight w:val="552"/>
        </w:trPr>
        <w:tc>
          <w:tcPr>
            <w:tcW w:w="1975" w:type="dxa"/>
          </w:tcPr>
          <w:p w14:paraId="511F380C" w14:textId="77777777" w:rsidR="0048655A" w:rsidRPr="008E6D2C" w:rsidRDefault="0048655A" w:rsidP="0048655A">
            <w:pPr>
              <w:spacing w:line="259" w:lineRule="auto"/>
            </w:pPr>
            <w:r w:rsidRPr="008E6D2C">
              <w:t>Implementation Tools</w:t>
            </w:r>
            <w:r w:rsidRPr="008E6D2C">
              <w:tab/>
            </w:r>
          </w:p>
        </w:tc>
        <w:tc>
          <w:tcPr>
            <w:tcW w:w="8730" w:type="dxa"/>
          </w:tcPr>
          <w:p w14:paraId="35B5FEA6" w14:textId="452F1E58" w:rsidR="0048655A" w:rsidRPr="002371C0" w:rsidRDefault="00363048" w:rsidP="0048655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Possibly a pilot initiative of nurses or pharmacists contacting patients (under physician supervision as noted above) to encourage LDL testing and adjustments to medication therapy as needed.</w:t>
            </w:r>
          </w:p>
        </w:tc>
      </w:tr>
      <w:tr w:rsidR="008E6D2C" w:rsidRPr="008E6D2C" w14:paraId="02D4678D" w14:textId="77777777" w:rsidTr="00C73A94">
        <w:trPr>
          <w:trHeight w:val="552"/>
        </w:trPr>
        <w:tc>
          <w:tcPr>
            <w:tcW w:w="1975" w:type="dxa"/>
          </w:tcPr>
          <w:p w14:paraId="1B184543" w14:textId="77777777" w:rsidR="0048655A" w:rsidRPr="008E6D2C" w:rsidRDefault="0048655A" w:rsidP="0048655A">
            <w:pPr>
              <w:spacing w:line="259" w:lineRule="auto"/>
            </w:pPr>
            <w:r w:rsidRPr="008E6D2C">
              <w:t>Implementation Measurement</w:t>
            </w:r>
          </w:p>
        </w:tc>
        <w:tc>
          <w:tcPr>
            <w:tcW w:w="8730" w:type="dxa"/>
          </w:tcPr>
          <w:p w14:paraId="0D25EBD1" w14:textId="5213F030" w:rsidR="0048655A" w:rsidRPr="002371C0" w:rsidRDefault="00363048" w:rsidP="0048655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Track LDL </w:t>
            </w:r>
            <w:proofErr w:type="gramStart"/>
            <w:r>
              <w:rPr>
                <w:rFonts w:cstheme="minorHAnsi"/>
              </w:rPr>
              <w:t>as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 response</w:t>
            </w:r>
            <w:proofErr w:type="gramEnd"/>
            <w:r>
              <w:rPr>
                <w:rFonts w:cstheme="minorHAnsi"/>
              </w:rPr>
              <w:t xml:space="preserve"> to the above intervention.</w:t>
            </w:r>
          </w:p>
        </w:tc>
      </w:tr>
      <w:tr w:rsidR="008E6D2C" w:rsidRPr="008E6D2C" w14:paraId="66558595" w14:textId="77777777" w:rsidTr="00C73A94">
        <w:trPr>
          <w:trHeight w:val="538"/>
        </w:trPr>
        <w:tc>
          <w:tcPr>
            <w:tcW w:w="1975" w:type="dxa"/>
          </w:tcPr>
          <w:p w14:paraId="29954FA9" w14:textId="77777777" w:rsidR="0048655A" w:rsidRPr="008E6D2C" w:rsidRDefault="0048655A" w:rsidP="0048655A">
            <w:pPr>
              <w:spacing w:line="259" w:lineRule="auto"/>
            </w:pPr>
            <w:r w:rsidRPr="008E6D2C">
              <w:t>Reference</w:t>
            </w:r>
          </w:p>
        </w:tc>
        <w:tc>
          <w:tcPr>
            <w:tcW w:w="8730" w:type="dxa"/>
          </w:tcPr>
          <w:p w14:paraId="722DE921" w14:textId="7D62E4D8" w:rsidR="0048655A" w:rsidRPr="002371C0" w:rsidRDefault="0048655A" w:rsidP="0048655A">
            <w:pPr>
              <w:spacing w:line="259" w:lineRule="auto"/>
              <w:rPr>
                <w:rFonts w:cstheme="minorHAnsi"/>
              </w:rPr>
            </w:pPr>
            <w:r w:rsidRPr="002371C0">
              <w:rPr>
                <w:rFonts w:cstheme="minorHAnsi"/>
              </w:rPr>
              <w:t xml:space="preserve"> </w:t>
            </w:r>
          </w:p>
        </w:tc>
      </w:tr>
      <w:bookmarkEnd w:id="1"/>
    </w:tbl>
    <w:p w14:paraId="62800767" w14:textId="77777777" w:rsidR="00FE6194" w:rsidRDefault="00FE6194" w:rsidP="00C73A94">
      <w:pPr>
        <w:spacing w:after="0"/>
      </w:pPr>
    </w:p>
    <w:sectPr w:rsidR="00FE6194" w:rsidSect="00D24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16B"/>
    <w:multiLevelType w:val="hybridMultilevel"/>
    <w:tmpl w:val="6C765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02D5"/>
    <w:multiLevelType w:val="hybridMultilevel"/>
    <w:tmpl w:val="6694B5D2"/>
    <w:lvl w:ilvl="0" w:tplc="CFAEE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7D0BEF"/>
    <w:multiLevelType w:val="hybridMultilevel"/>
    <w:tmpl w:val="1F64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55843"/>
    <w:multiLevelType w:val="hybridMultilevel"/>
    <w:tmpl w:val="101A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667493">
    <w:abstractNumId w:val="2"/>
  </w:num>
  <w:num w:numId="2" w16cid:durableId="797533890">
    <w:abstractNumId w:val="0"/>
  </w:num>
  <w:num w:numId="3" w16cid:durableId="1463882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44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90"/>
    <w:rsid w:val="00031C40"/>
    <w:rsid w:val="000364F3"/>
    <w:rsid w:val="000657BE"/>
    <w:rsid w:val="000811DB"/>
    <w:rsid w:val="0009409F"/>
    <w:rsid w:val="000945B2"/>
    <w:rsid w:val="000A45F6"/>
    <w:rsid w:val="000E6B94"/>
    <w:rsid w:val="0011201D"/>
    <w:rsid w:val="00170CB0"/>
    <w:rsid w:val="001D1AB6"/>
    <w:rsid w:val="001D52BB"/>
    <w:rsid w:val="001D6EBE"/>
    <w:rsid w:val="001E348B"/>
    <w:rsid w:val="002371C0"/>
    <w:rsid w:val="00243268"/>
    <w:rsid w:val="00245565"/>
    <w:rsid w:val="00262AE4"/>
    <w:rsid w:val="00264D52"/>
    <w:rsid w:val="002A1A00"/>
    <w:rsid w:val="0031051B"/>
    <w:rsid w:val="00363048"/>
    <w:rsid w:val="003D755D"/>
    <w:rsid w:val="003E27D1"/>
    <w:rsid w:val="003E34C5"/>
    <w:rsid w:val="003E4FB7"/>
    <w:rsid w:val="0048655A"/>
    <w:rsid w:val="004A0A51"/>
    <w:rsid w:val="004C0082"/>
    <w:rsid w:val="0050422C"/>
    <w:rsid w:val="0050738F"/>
    <w:rsid w:val="00514319"/>
    <w:rsid w:val="00536C57"/>
    <w:rsid w:val="00563BE5"/>
    <w:rsid w:val="00574996"/>
    <w:rsid w:val="005F7D45"/>
    <w:rsid w:val="00615B5F"/>
    <w:rsid w:val="00643923"/>
    <w:rsid w:val="006D07CE"/>
    <w:rsid w:val="006D32D2"/>
    <w:rsid w:val="0070505B"/>
    <w:rsid w:val="0072563B"/>
    <w:rsid w:val="007527FB"/>
    <w:rsid w:val="00775C9E"/>
    <w:rsid w:val="00777238"/>
    <w:rsid w:val="007C4CA1"/>
    <w:rsid w:val="00810EDB"/>
    <w:rsid w:val="008131C8"/>
    <w:rsid w:val="00826D78"/>
    <w:rsid w:val="008367BA"/>
    <w:rsid w:val="00871F97"/>
    <w:rsid w:val="00891EA5"/>
    <w:rsid w:val="008A7C90"/>
    <w:rsid w:val="008E6D2C"/>
    <w:rsid w:val="009001F2"/>
    <w:rsid w:val="00933309"/>
    <w:rsid w:val="009349CC"/>
    <w:rsid w:val="009D3202"/>
    <w:rsid w:val="00A16BB1"/>
    <w:rsid w:val="00AB38C7"/>
    <w:rsid w:val="00B854B1"/>
    <w:rsid w:val="00BA2786"/>
    <w:rsid w:val="00BB6508"/>
    <w:rsid w:val="00BC2100"/>
    <w:rsid w:val="00C3487D"/>
    <w:rsid w:val="00C4025A"/>
    <w:rsid w:val="00C448FF"/>
    <w:rsid w:val="00C44FD1"/>
    <w:rsid w:val="00C73A94"/>
    <w:rsid w:val="00CB0455"/>
    <w:rsid w:val="00CB5419"/>
    <w:rsid w:val="00CC353B"/>
    <w:rsid w:val="00CF4301"/>
    <w:rsid w:val="00D003F1"/>
    <w:rsid w:val="00D24534"/>
    <w:rsid w:val="00D5098C"/>
    <w:rsid w:val="00DD65D0"/>
    <w:rsid w:val="00E00255"/>
    <w:rsid w:val="00E8365F"/>
    <w:rsid w:val="00E8740F"/>
    <w:rsid w:val="00EA68F9"/>
    <w:rsid w:val="00EB0401"/>
    <w:rsid w:val="00EF635D"/>
    <w:rsid w:val="00EF6EE1"/>
    <w:rsid w:val="00EF7A22"/>
    <w:rsid w:val="00F145FB"/>
    <w:rsid w:val="00F32560"/>
    <w:rsid w:val="00F91EB4"/>
    <w:rsid w:val="00FC2999"/>
    <w:rsid w:val="00FE6194"/>
    <w:rsid w:val="00FF0A8B"/>
    <w:rsid w:val="00FF4494"/>
    <w:rsid w:val="0B4BE6C0"/>
    <w:rsid w:val="1A557A28"/>
    <w:rsid w:val="30BD5087"/>
    <w:rsid w:val="4E5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87FD"/>
  <w15:chartTrackingRefBased/>
  <w15:docId w15:val="{9FC22822-AC04-437A-95FB-02AB679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90"/>
  </w:style>
  <w:style w:type="paragraph" w:styleId="Heading1">
    <w:name w:val="heading 1"/>
    <w:basedOn w:val="Normal"/>
    <w:next w:val="Normal"/>
    <w:link w:val="Heading1Char"/>
    <w:uiPriority w:val="9"/>
    <w:qFormat/>
    <w:rsid w:val="008A7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A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1F9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212CF887CC049AE0A16A900E750E9" ma:contentTypeVersion="4" ma:contentTypeDescription="Create a new document." ma:contentTypeScope="" ma:versionID="26f72255694875e0a40ba5f2a738f149">
  <xsd:schema xmlns:xsd="http://www.w3.org/2001/XMLSchema" xmlns:xs="http://www.w3.org/2001/XMLSchema" xmlns:p="http://schemas.microsoft.com/office/2006/metadata/properties" xmlns:ns2="04c69e7e-30dd-4fc4-b8bc-afeef48eb057" targetNamespace="http://schemas.microsoft.com/office/2006/metadata/properties" ma:root="true" ma:fieldsID="c12e4ecb4e3c8b82f7c1ad76388fb1ae" ns2:_="">
    <xsd:import namespace="04c69e7e-30dd-4fc4-b8bc-afeef48e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9e7e-30dd-4fc4-b8bc-afeef48eb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1E0E8-BEAB-4168-ADE6-64CDBB890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9e7e-30dd-4fc4-b8bc-afeef48e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88A28-5B10-48BE-B8D6-480C75C53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B8E45-4B7B-44CA-883D-6EABF409C3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E Parker</dc:creator>
  <cp:keywords/>
  <dc:description/>
  <cp:lastModifiedBy>Natalie A Tran</cp:lastModifiedBy>
  <cp:revision>4</cp:revision>
  <dcterms:created xsi:type="dcterms:W3CDTF">2025-11-05T03:06:00Z</dcterms:created>
  <dcterms:modified xsi:type="dcterms:W3CDTF">2026-05-05T21:25:00Z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0x0101005E2212CF887CC049AE0A16A900E750E9</vt:lpwstr>
  </property>
</Properties>
</file>